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BD2" w:rsidRPr="00C343A3" w:rsidRDefault="00371BD2" w:rsidP="00C343A3">
      <w:pPr>
        <w:jc w:val="center"/>
        <w:rPr>
          <w:rFonts w:ascii="Trebuchet MS" w:hAnsi="Trebuchet MS"/>
          <w:b/>
          <w:color w:val="00A3E0"/>
          <w:sz w:val="30"/>
          <w:szCs w:val="30"/>
        </w:rPr>
      </w:pPr>
      <w:r w:rsidRPr="00C343A3">
        <w:rPr>
          <w:rFonts w:ascii="Trebuchet MS" w:hAnsi="Trebuchet MS"/>
          <w:b/>
          <w:color w:val="00A3E0"/>
          <w:sz w:val="30"/>
          <w:szCs w:val="30"/>
        </w:rPr>
        <w:t>Αξιολόγηση</w:t>
      </w:r>
      <w:r w:rsidR="00C643A8" w:rsidRPr="00C343A3">
        <w:rPr>
          <w:rFonts w:ascii="Trebuchet MS" w:hAnsi="Trebuchet MS"/>
          <w:b/>
          <w:color w:val="00A3E0"/>
          <w:sz w:val="30"/>
          <w:szCs w:val="30"/>
        </w:rPr>
        <w:t xml:space="preserve"> </w:t>
      </w:r>
      <w:r w:rsidR="0091156C">
        <w:rPr>
          <w:rFonts w:ascii="Trebuchet MS" w:hAnsi="Trebuchet MS"/>
          <w:b/>
          <w:color w:val="00A3E0"/>
          <w:sz w:val="30"/>
          <w:szCs w:val="30"/>
        </w:rPr>
        <w:t xml:space="preserve">των </w:t>
      </w:r>
      <w:r w:rsidR="00D213D6" w:rsidRPr="00C343A3">
        <w:rPr>
          <w:rFonts w:ascii="Trebuchet MS" w:hAnsi="Trebuchet MS"/>
          <w:b/>
          <w:color w:val="00A3E0"/>
          <w:sz w:val="30"/>
          <w:szCs w:val="30"/>
        </w:rPr>
        <w:t xml:space="preserve">Μακροοικονομικών </w:t>
      </w:r>
      <w:r w:rsidR="00C643A8" w:rsidRPr="00C343A3">
        <w:rPr>
          <w:rFonts w:ascii="Trebuchet MS" w:hAnsi="Trebuchet MS"/>
          <w:b/>
          <w:color w:val="00A3E0"/>
          <w:sz w:val="30"/>
          <w:szCs w:val="30"/>
        </w:rPr>
        <w:t>&amp;</w:t>
      </w:r>
      <w:r w:rsidRPr="00C343A3">
        <w:rPr>
          <w:rFonts w:ascii="Trebuchet MS" w:hAnsi="Trebuchet MS"/>
          <w:b/>
          <w:color w:val="00A3E0"/>
          <w:sz w:val="30"/>
          <w:szCs w:val="30"/>
        </w:rPr>
        <w:t xml:space="preserve"> </w:t>
      </w:r>
      <w:r w:rsidR="00D213D6" w:rsidRPr="00C343A3">
        <w:rPr>
          <w:rFonts w:ascii="Trebuchet MS" w:hAnsi="Trebuchet MS"/>
          <w:b/>
          <w:color w:val="00A3E0"/>
          <w:sz w:val="30"/>
          <w:szCs w:val="30"/>
        </w:rPr>
        <w:t xml:space="preserve">Δημοσιονομικών </w:t>
      </w:r>
      <w:r w:rsidRPr="00C343A3">
        <w:rPr>
          <w:rFonts w:ascii="Trebuchet MS" w:hAnsi="Trebuchet MS"/>
          <w:b/>
          <w:color w:val="00A3E0"/>
          <w:sz w:val="30"/>
          <w:szCs w:val="30"/>
        </w:rPr>
        <w:t>Προβλέψεων του Μεσοπρόθεσμου Πλαισίου Δημοσιονομικής Στρατηγικής (ΜΠΔΣ)</w:t>
      </w:r>
      <w:r w:rsidR="00C343A3" w:rsidRPr="00C343A3">
        <w:rPr>
          <w:rFonts w:ascii="Trebuchet MS" w:hAnsi="Trebuchet MS"/>
          <w:b/>
          <w:color w:val="00A3E0"/>
          <w:sz w:val="30"/>
          <w:szCs w:val="30"/>
        </w:rPr>
        <w:t xml:space="preserve"> </w:t>
      </w:r>
      <w:r w:rsidRPr="00C343A3">
        <w:rPr>
          <w:rFonts w:ascii="Trebuchet MS" w:hAnsi="Trebuchet MS"/>
          <w:b/>
          <w:color w:val="00A3E0"/>
          <w:sz w:val="30"/>
          <w:szCs w:val="30"/>
        </w:rPr>
        <w:t>2018-2021</w:t>
      </w:r>
    </w:p>
    <w:p w:rsidR="00371BD2" w:rsidRPr="00C343A3" w:rsidRDefault="00371BD2" w:rsidP="00461423">
      <w:pPr>
        <w:rPr>
          <w:rFonts w:ascii="Trebuchet MS" w:hAnsi="Trebuchet MS"/>
          <w:sz w:val="28"/>
          <w:szCs w:val="28"/>
        </w:rPr>
      </w:pPr>
    </w:p>
    <w:p w:rsidR="00371BD2" w:rsidRPr="00FC35EE" w:rsidRDefault="00371BD2" w:rsidP="00461423">
      <w:pPr>
        <w:jc w:val="both"/>
        <w:rPr>
          <w:rFonts w:ascii="Trebuchet MS" w:hAnsi="Trebuchet MS"/>
          <w:color w:val="676A6E"/>
        </w:rPr>
      </w:pPr>
      <w:r w:rsidRPr="00FC35EE">
        <w:rPr>
          <w:rFonts w:ascii="Trebuchet MS" w:hAnsi="Trebuchet MS"/>
          <w:color w:val="676A6E"/>
        </w:rPr>
        <w:t>Το Ελληνικό Δημοσιονομικό Συμβούλιο (ΕΔΣ), σύμφωνα με το νόμο (Ν. 4270/14, άρθ. 42, παρ. 4) αξιολογεί τις μακροοικονομικές</w:t>
      </w:r>
      <w:r w:rsidR="004B7ED9">
        <w:rPr>
          <w:rFonts w:ascii="Trebuchet MS" w:hAnsi="Trebuchet MS"/>
          <w:color w:val="676A6E"/>
        </w:rPr>
        <w:t xml:space="preserve"> </w:t>
      </w:r>
      <w:r>
        <w:rPr>
          <w:rFonts w:ascii="Trebuchet MS" w:hAnsi="Trebuchet MS"/>
          <w:color w:val="676A6E"/>
        </w:rPr>
        <w:t xml:space="preserve">και δημοσιονομικές </w:t>
      </w:r>
      <w:r w:rsidRPr="00FC35EE">
        <w:rPr>
          <w:rFonts w:ascii="Trebuchet MS" w:hAnsi="Trebuchet MS"/>
          <w:color w:val="676A6E"/>
        </w:rPr>
        <w:t xml:space="preserve">προβλέψεις του Μεσοπρόθεσμου Πλαισίου Δημοσιονομικής Στρατηγικής. Τόσο οι προβλέψεις που αφορούν στη διαμόρφωση του πρωτογενούς πλεονάσματος όσο και οι προβλέψεις που αφορούν στην εξέλιξη του πραγματικού Α.Ε.Π. </w:t>
      </w:r>
      <w:r>
        <w:rPr>
          <w:rFonts w:ascii="Trebuchet MS" w:hAnsi="Trebuchet MS"/>
          <w:color w:val="676A6E"/>
        </w:rPr>
        <w:t>εί</w:t>
      </w:r>
      <w:bookmarkStart w:id="0" w:name="_GoBack"/>
      <w:bookmarkEnd w:id="0"/>
      <w:r>
        <w:rPr>
          <w:rFonts w:ascii="Trebuchet MS" w:hAnsi="Trebuchet MS"/>
          <w:color w:val="676A6E"/>
        </w:rPr>
        <w:t xml:space="preserve">ναι κατά βάση </w:t>
      </w:r>
      <w:r w:rsidRPr="00FC35EE">
        <w:rPr>
          <w:rFonts w:ascii="Trebuchet MS" w:hAnsi="Trebuchet MS"/>
          <w:color w:val="676A6E"/>
        </w:rPr>
        <w:t>αισιόδοξες</w:t>
      </w:r>
      <w:r>
        <w:rPr>
          <w:rFonts w:ascii="Trebuchet MS" w:hAnsi="Trebuchet MS"/>
          <w:color w:val="676A6E"/>
        </w:rPr>
        <w:t xml:space="preserve"> και συναρτώνται με την πραγμάτωση σειράς προϋποθέσεων</w:t>
      </w:r>
      <w:r w:rsidRPr="00FC35EE">
        <w:rPr>
          <w:rFonts w:ascii="Trebuchet MS" w:hAnsi="Trebuchet MS"/>
          <w:color w:val="676A6E"/>
        </w:rPr>
        <w:t xml:space="preserve">. Στην συνέχεια </w:t>
      </w:r>
      <w:r>
        <w:rPr>
          <w:rFonts w:ascii="Trebuchet MS" w:hAnsi="Trebuchet MS"/>
          <w:color w:val="676A6E"/>
        </w:rPr>
        <w:t>αναφερόμαστε συνοπτικά σ</w:t>
      </w:r>
      <w:r w:rsidRPr="00FC35EE">
        <w:rPr>
          <w:rFonts w:ascii="Trebuchet MS" w:hAnsi="Trebuchet MS"/>
          <w:color w:val="676A6E"/>
        </w:rPr>
        <w:t>τις προϋποθέσεις που απαιτούνται για την υλοποίηση των προβλέψεων του ΜΠΔΣ.</w:t>
      </w:r>
    </w:p>
    <w:p w:rsidR="00021C19" w:rsidRDefault="00021C19" w:rsidP="00461423">
      <w:pPr>
        <w:jc w:val="both"/>
        <w:rPr>
          <w:rFonts w:ascii="Trebuchet MS" w:hAnsi="Trebuchet MS"/>
          <w:b/>
          <w:color w:val="00A3E0"/>
          <w:sz w:val="28"/>
          <w:szCs w:val="28"/>
        </w:rPr>
      </w:pPr>
    </w:p>
    <w:p w:rsidR="00371BD2" w:rsidRPr="00FC35EE" w:rsidRDefault="00371BD2" w:rsidP="00461423">
      <w:pPr>
        <w:jc w:val="both"/>
        <w:rPr>
          <w:rFonts w:ascii="Trebuchet MS" w:hAnsi="Trebuchet MS"/>
          <w:b/>
          <w:color w:val="00A3E0"/>
          <w:sz w:val="28"/>
          <w:szCs w:val="28"/>
        </w:rPr>
      </w:pPr>
      <w:r w:rsidRPr="00FC35EE">
        <w:rPr>
          <w:rFonts w:ascii="Trebuchet MS" w:hAnsi="Trebuchet MS"/>
          <w:b/>
          <w:color w:val="00A3E0"/>
          <w:sz w:val="28"/>
          <w:szCs w:val="28"/>
        </w:rPr>
        <w:t>Δημοσιονομικές Προβλέψεις</w:t>
      </w:r>
    </w:p>
    <w:p w:rsidR="00371BD2" w:rsidRDefault="00371BD2" w:rsidP="00461423">
      <w:pPr>
        <w:jc w:val="both"/>
        <w:rPr>
          <w:rFonts w:ascii="Trebuchet MS" w:hAnsi="Trebuchet MS"/>
          <w:color w:val="676A6E"/>
        </w:rPr>
      </w:pPr>
      <w:r w:rsidRPr="00FC35EE">
        <w:rPr>
          <w:rFonts w:ascii="Trebuchet MS" w:hAnsi="Trebuchet MS"/>
          <w:color w:val="676A6E"/>
        </w:rPr>
        <w:t>Ο στόχος που τίθεται στο ΜΠΔΣ 2018-20</w:t>
      </w:r>
      <w:r>
        <w:rPr>
          <w:rFonts w:ascii="Trebuchet MS" w:hAnsi="Trebuchet MS"/>
          <w:color w:val="676A6E"/>
        </w:rPr>
        <w:t>2</w:t>
      </w:r>
      <w:r w:rsidRPr="00FC35EE">
        <w:rPr>
          <w:rFonts w:ascii="Trebuchet MS" w:hAnsi="Trebuchet MS"/>
          <w:color w:val="676A6E"/>
        </w:rPr>
        <w:t xml:space="preserve">1 για </w:t>
      </w:r>
      <w:r w:rsidRPr="008603B2">
        <w:rPr>
          <w:rFonts w:ascii="Trebuchet MS" w:hAnsi="Trebuchet MS"/>
          <w:b/>
          <w:color w:val="676A6E"/>
        </w:rPr>
        <w:t>πρωτογενές πλεόνασμα</w:t>
      </w:r>
      <w:r w:rsidRPr="00FC35EE">
        <w:rPr>
          <w:rFonts w:ascii="Trebuchet MS" w:hAnsi="Trebuchet MS"/>
          <w:color w:val="676A6E"/>
        </w:rPr>
        <w:t xml:space="preserve"> της τάξης του 3,5% είναι </w:t>
      </w:r>
      <w:r>
        <w:rPr>
          <w:rFonts w:ascii="Trebuchet MS" w:hAnsi="Trebuchet MS"/>
          <w:color w:val="676A6E"/>
        </w:rPr>
        <w:t xml:space="preserve">ένας πολύ απαιτητικός </w:t>
      </w:r>
      <w:r w:rsidRPr="00FC35EE">
        <w:rPr>
          <w:rFonts w:ascii="Trebuchet MS" w:hAnsi="Trebuchet MS"/>
          <w:color w:val="676A6E"/>
        </w:rPr>
        <w:t>στόχος</w:t>
      </w:r>
      <w:r w:rsidR="003A12CB">
        <w:rPr>
          <w:rFonts w:ascii="Trebuchet MS" w:hAnsi="Trebuchet MS"/>
          <w:color w:val="676A6E"/>
        </w:rPr>
        <w:t>. Η</w:t>
      </w:r>
      <w:r>
        <w:rPr>
          <w:rFonts w:ascii="Trebuchet MS" w:hAnsi="Trebuchet MS"/>
          <w:color w:val="676A6E"/>
        </w:rPr>
        <w:t xml:space="preserve"> επίτευξη </w:t>
      </w:r>
      <w:r w:rsidR="003A12CB">
        <w:rPr>
          <w:rFonts w:ascii="Trebuchet MS" w:hAnsi="Trebuchet MS"/>
          <w:color w:val="676A6E"/>
        </w:rPr>
        <w:t>του στόχου σε συνδυασμό με</w:t>
      </w:r>
      <w:r w:rsidR="002E630B">
        <w:rPr>
          <w:rFonts w:ascii="Trebuchet MS" w:hAnsi="Trebuchet MS"/>
          <w:color w:val="676A6E"/>
        </w:rPr>
        <w:t xml:space="preserve"> μεγέθυνση άν</w:t>
      </w:r>
      <w:r w:rsidR="003A12CB">
        <w:rPr>
          <w:rFonts w:ascii="Trebuchet MS" w:hAnsi="Trebuchet MS"/>
          <w:color w:val="676A6E"/>
        </w:rPr>
        <w:t>ω του 2% ετησίως εξαρτάται δραστικά από τ</w:t>
      </w:r>
      <w:r>
        <w:rPr>
          <w:rFonts w:ascii="Trebuchet MS" w:hAnsi="Trebuchet MS"/>
          <w:color w:val="676A6E"/>
        </w:rPr>
        <w:t xml:space="preserve">η </w:t>
      </w:r>
      <w:r w:rsidRPr="00FC35EE">
        <w:rPr>
          <w:rFonts w:ascii="Trebuchet MS" w:hAnsi="Trebuchet MS"/>
          <w:color w:val="676A6E"/>
        </w:rPr>
        <w:t xml:space="preserve">συγκράτηση των δημοσίων δαπανών στα τρέχοντα επίπεδα και </w:t>
      </w:r>
      <w:r w:rsidR="003A12CB">
        <w:rPr>
          <w:rFonts w:ascii="Trebuchet MS" w:hAnsi="Trebuchet MS"/>
          <w:color w:val="676A6E"/>
        </w:rPr>
        <w:t>τ</w:t>
      </w:r>
      <w:r w:rsidRPr="00FC35EE">
        <w:rPr>
          <w:rFonts w:ascii="Trebuchet MS" w:hAnsi="Trebuchet MS"/>
          <w:color w:val="676A6E"/>
        </w:rPr>
        <w:t>η συνέχιση της υπερ-απόδοσης των δημοσίων εσόδων που</w:t>
      </w:r>
      <w:r w:rsidR="004B7ED9">
        <w:rPr>
          <w:rFonts w:ascii="Trebuchet MS" w:hAnsi="Trebuchet MS"/>
          <w:color w:val="676A6E"/>
        </w:rPr>
        <w:t xml:space="preserve"> </w:t>
      </w:r>
      <w:r>
        <w:rPr>
          <w:rFonts w:ascii="Trebuchet MS" w:hAnsi="Trebuchet MS"/>
          <w:color w:val="676A6E"/>
        </w:rPr>
        <w:t>καταγράφηκε από τις αρχές του 2016 και κατά τα τελευταία</w:t>
      </w:r>
      <w:r w:rsidR="00EF4E04">
        <w:rPr>
          <w:rFonts w:ascii="Trebuchet MS" w:hAnsi="Trebuchet MS"/>
          <w:color w:val="676A6E"/>
        </w:rPr>
        <w:t xml:space="preserve"> διαδοχικά τρίμηνα παρά την </w:t>
      </w:r>
      <w:r w:rsidR="00C343A3">
        <w:rPr>
          <w:rFonts w:ascii="Trebuchet MS" w:hAnsi="Trebuchet MS"/>
          <w:color w:val="676A6E"/>
        </w:rPr>
        <w:t>προτεινόμενη</w:t>
      </w:r>
      <w:r>
        <w:rPr>
          <w:rFonts w:ascii="Trebuchet MS" w:hAnsi="Trebuchet MS"/>
          <w:color w:val="676A6E"/>
        </w:rPr>
        <w:t xml:space="preserve"> </w:t>
      </w:r>
      <w:r w:rsidR="003A12CB">
        <w:rPr>
          <w:rFonts w:ascii="Trebuchet MS" w:hAnsi="Trebuchet MS"/>
          <w:color w:val="676A6E"/>
        </w:rPr>
        <w:t>αβεβαιότητα</w:t>
      </w:r>
      <w:r>
        <w:rPr>
          <w:rFonts w:ascii="Trebuchet MS" w:hAnsi="Trebuchet MS"/>
          <w:color w:val="676A6E"/>
        </w:rPr>
        <w:t xml:space="preserve"> </w:t>
      </w:r>
      <w:r w:rsidR="002E630B">
        <w:rPr>
          <w:rFonts w:ascii="Trebuchet MS" w:hAnsi="Trebuchet MS"/>
          <w:color w:val="676A6E"/>
        </w:rPr>
        <w:t xml:space="preserve">και </w:t>
      </w:r>
      <w:r>
        <w:rPr>
          <w:rFonts w:ascii="Trebuchet MS" w:hAnsi="Trebuchet MS"/>
          <w:color w:val="676A6E"/>
        </w:rPr>
        <w:t>τη σχετική στασιμότητα της οικονομικής δραστηριότητας.</w:t>
      </w:r>
      <w:r w:rsidRPr="00FC35EE">
        <w:rPr>
          <w:rFonts w:ascii="Trebuchet MS" w:hAnsi="Trebuchet MS"/>
          <w:color w:val="676A6E"/>
        </w:rPr>
        <w:t xml:space="preserve"> </w:t>
      </w:r>
    </w:p>
    <w:p w:rsidR="00371BD2" w:rsidRDefault="00371BD2" w:rsidP="00461423">
      <w:pPr>
        <w:jc w:val="both"/>
        <w:rPr>
          <w:rFonts w:ascii="Trebuchet MS" w:hAnsi="Trebuchet MS"/>
          <w:color w:val="676A6E"/>
        </w:rPr>
      </w:pPr>
      <w:r>
        <w:rPr>
          <w:rFonts w:ascii="Trebuchet MS" w:hAnsi="Trebuchet MS"/>
          <w:color w:val="676A6E"/>
        </w:rPr>
        <w:t>Είναι γεγονός</w:t>
      </w:r>
      <w:r w:rsidRPr="00FC35EE">
        <w:rPr>
          <w:rFonts w:ascii="Trebuchet MS" w:hAnsi="Trebuchet MS"/>
          <w:color w:val="676A6E"/>
        </w:rPr>
        <w:t xml:space="preserve"> </w:t>
      </w:r>
      <w:r>
        <w:rPr>
          <w:rFonts w:ascii="Trebuchet MS" w:hAnsi="Trebuchet MS"/>
          <w:color w:val="676A6E"/>
        </w:rPr>
        <w:t xml:space="preserve">ότι </w:t>
      </w:r>
      <w:r w:rsidRPr="00FC35EE">
        <w:rPr>
          <w:rFonts w:ascii="Trebuchet MS" w:hAnsi="Trebuchet MS"/>
          <w:color w:val="676A6E"/>
        </w:rPr>
        <w:t xml:space="preserve">οι </w:t>
      </w:r>
      <w:r w:rsidRPr="008603B2">
        <w:rPr>
          <w:rFonts w:ascii="Trebuchet MS" w:hAnsi="Trebuchet MS"/>
          <w:b/>
          <w:color w:val="676A6E"/>
        </w:rPr>
        <w:t>δημόσιες δαπάνες</w:t>
      </w:r>
      <w:r w:rsidRPr="00FC35EE">
        <w:rPr>
          <w:rFonts w:ascii="Trebuchet MS" w:hAnsi="Trebuchet MS"/>
          <w:color w:val="676A6E"/>
        </w:rPr>
        <w:t xml:space="preserve"> τα τελευταία έτη, στο πλαίσιο του προγράμματος προσαρμογής, φαίνεται </w:t>
      </w:r>
      <w:r>
        <w:rPr>
          <w:rFonts w:ascii="Trebuchet MS" w:hAnsi="Trebuchet MS"/>
          <w:color w:val="676A6E"/>
        </w:rPr>
        <w:t xml:space="preserve">να έχουν καταστεί σε απόλυτο σχεδόν βαθμό </w:t>
      </w:r>
      <w:r w:rsidR="00292934">
        <w:rPr>
          <w:rFonts w:ascii="Trebuchet MS" w:hAnsi="Trebuchet MS"/>
          <w:color w:val="676A6E"/>
        </w:rPr>
        <w:t xml:space="preserve">μέγεθος </w:t>
      </w:r>
      <w:r w:rsidRPr="00FC35EE">
        <w:rPr>
          <w:rFonts w:ascii="Trebuchet MS" w:hAnsi="Trebuchet MS"/>
          <w:color w:val="676A6E"/>
        </w:rPr>
        <w:t>ελεγχόμενο από την Κυβέρνηση. Ειδικά την τελευταία τριετία το επίπεδο των δαπανών παραμένει σχετικά σταθερό και ταυτόχρονα οι ετήσιες προβλέψεις, όπως αυτές πε</w:t>
      </w:r>
      <w:r>
        <w:rPr>
          <w:rFonts w:ascii="Trebuchet MS" w:hAnsi="Trebuchet MS"/>
          <w:color w:val="676A6E"/>
        </w:rPr>
        <w:t>ριλαμβάνονται στις Εισηγητικές Ε</w:t>
      </w:r>
      <w:r w:rsidRPr="00FC35EE">
        <w:rPr>
          <w:rFonts w:ascii="Trebuchet MS" w:hAnsi="Trebuchet MS"/>
          <w:color w:val="676A6E"/>
        </w:rPr>
        <w:t>κθέσεις</w:t>
      </w:r>
      <w:r w:rsidRPr="007119F8">
        <w:rPr>
          <w:rFonts w:ascii="Trebuchet MS" w:hAnsi="Trebuchet MS"/>
          <w:color w:val="676A6E"/>
        </w:rPr>
        <w:t xml:space="preserve"> </w:t>
      </w:r>
      <w:r>
        <w:rPr>
          <w:rFonts w:ascii="Trebuchet MS" w:hAnsi="Trebuchet MS"/>
          <w:color w:val="676A6E"/>
        </w:rPr>
        <w:t>του Προϋπολογισμού</w:t>
      </w:r>
      <w:r w:rsidRPr="00FC35EE">
        <w:rPr>
          <w:rFonts w:ascii="Trebuchet MS" w:hAnsi="Trebuchet MS"/>
          <w:color w:val="676A6E"/>
        </w:rPr>
        <w:t xml:space="preserve">, </w:t>
      </w:r>
      <w:r>
        <w:rPr>
          <w:rFonts w:ascii="Trebuchet MS" w:hAnsi="Trebuchet MS"/>
          <w:color w:val="676A6E"/>
        </w:rPr>
        <w:t xml:space="preserve">ουσιαστικά </w:t>
      </w:r>
      <w:r w:rsidRPr="00FC35EE">
        <w:rPr>
          <w:rFonts w:ascii="Trebuchet MS" w:hAnsi="Trebuchet MS"/>
          <w:color w:val="676A6E"/>
        </w:rPr>
        <w:t>επαληθεύονται. Συνεπώς</w:t>
      </w:r>
      <w:r>
        <w:rPr>
          <w:rFonts w:ascii="Trebuchet MS" w:hAnsi="Trebuchet MS"/>
          <w:color w:val="676A6E"/>
        </w:rPr>
        <w:t>,</w:t>
      </w:r>
      <w:r w:rsidRPr="00FC35EE">
        <w:rPr>
          <w:rFonts w:ascii="Trebuchet MS" w:hAnsi="Trebuchet MS"/>
          <w:color w:val="676A6E"/>
        </w:rPr>
        <w:t xml:space="preserve"> ο στόχος για συγκράτηση των δαπανών στα τρέχοντα επίπεδα μπορεί να θεωρηθεί επιτεύξιμος. Ωστόσο κίνδυνοι για εκτροχιασμό των δημοσίων δαπανών εξακολουθούν να υφίστανται. Σημαντικότερη πηγή ανησυχίας </w:t>
      </w:r>
      <w:r>
        <w:rPr>
          <w:rFonts w:ascii="Trebuchet MS" w:hAnsi="Trebuchet MS"/>
          <w:color w:val="676A6E"/>
        </w:rPr>
        <w:t xml:space="preserve">αποτελούν οι </w:t>
      </w:r>
      <w:r w:rsidRPr="00FC35EE">
        <w:rPr>
          <w:rFonts w:ascii="Trebuchet MS" w:hAnsi="Trebuchet MS"/>
          <w:color w:val="676A6E"/>
        </w:rPr>
        <w:t>Οργανισμο</w:t>
      </w:r>
      <w:r>
        <w:rPr>
          <w:rFonts w:ascii="Trebuchet MS" w:hAnsi="Trebuchet MS"/>
          <w:color w:val="676A6E"/>
        </w:rPr>
        <w:t>ί</w:t>
      </w:r>
      <w:r w:rsidRPr="00FC35EE">
        <w:rPr>
          <w:rFonts w:ascii="Trebuchet MS" w:hAnsi="Trebuchet MS"/>
          <w:color w:val="676A6E"/>
        </w:rPr>
        <w:t xml:space="preserve"> Κοινωνικής Ασφάλισης (ΟΚΑ) και ειδικά το σκέλος που αφορά στη χρηματοδότηση του ΕΦΚΑ. Ειδικά για τις δαπάνες που αφ</w:t>
      </w:r>
      <w:r w:rsidR="003D5629">
        <w:rPr>
          <w:rFonts w:ascii="Trebuchet MS" w:hAnsi="Trebuchet MS"/>
          <w:color w:val="676A6E"/>
        </w:rPr>
        <w:t xml:space="preserve">ορούν σε χρηματοδότηση των ΟΚΑ </w:t>
      </w:r>
      <w:r w:rsidRPr="00FC35EE">
        <w:rPr>
          <w:rFonts w:ascii="Trebuchet MS" w:hAnsi="Trebuchet MS"/>
          <w:color w:val="676A6E"/>
        </w:rPr>
        <w:t>απαιτείται ιδιαίτερη προσοχή και δεν δικαιολογείται κανένας απολύτως εφησυχασμός. Επιπλέον</w:t>
      </w:r>
      <w:r w:rsidR="003D5629">
        <w:rPr>
          <w:rFonts w:ascii="Trebuchet MS" w:hAnsi="Trebuchet MS"/>
          <w:color w:val="676A6E"/>
        </w:rPr>
        <w:t>,</w:t>
      </w:r>
      <w:r w:rsidR="00200F5B">
        <w:rPr>
          <w:rFonts w:ascii="Trebuchet MS" w:hAnsi="Trebuchet MS"/>
          <w:color w:val="676A6E"/>
        </w:rPr>
        <w:t xml:space="preserve"> η όποι</w:t>
      </w:r>
      <w:r w:rsidRPr="00FC35EE">
        <w:rPr>
          <w:rFonts w:ascii="Trebuchet MS" w:hAnsi="Trebuchet MS"/>
          <w:color w:val="676A6E"/>
        </w:rPr>
        <w:t>α συγκράτηση των δημοσίων δαπανών θα πρέπει να μην προκαλεί συσσώρευση ληξιπρόθεσμων οφειλών</w:t>
      </w:r>
      <w:r w:rsidRPr="00FC35EE">
        <w:rPr>
          <w:rFonts w:ascii="Trebuchet MS" w:hAnsi="Trebuchet MS"/>
          <w:color w:val="676A6E"/>
          <w:vertAlign w:val="superscript"/>
        </w:rPr>
        <w:footnoteReference w:id="1"/>
      </w:r>
      <w:r w:rsidR="004B7ED9">
        <w:rPr>
          <w:rFonts w:ascii="Trebuchet MS" w:hAnsi="Trebuchet MS"/>
          <w:color w:val="676A6E"/>
        </w:rPr>
        <w:t xml:space="preserve">. Κάτι τέτοιο </w:t>
      </w:r>
      <w:r>
        <w:rPr>
          <w:rFonts w:ascii="Trebuchet MS" w:hAnsi="Trebuchet MS"/>
          <w:color w:val="676A6E"/>
        </w:rPr>
        <w:t>ενώ θα</w:t>
      </w:r>
      <w:r w:rsidRPr="007119F8">
        <w:rPr>
          <w:rFonts w:ascii="Trebuchet MS" w:hAnsi="Trebuchet MS"/>
          <w:color w:val="676A6E"/>
        </w:rPr>
        <w:t xml:space="preserve"> </w:t>
      </w:r>
      <w:r>
        <w:rPr>
          <w:rFonts w:ascii="Trebuchet MS" w:hAnsi="Trebuchet MS"/>
          <w:color w:val="676A6E"/>
        </w:rPr>
        <w:t xml:space="preserve">ήταν </w:t>
      </w:r>
      <w:r w:rsidRPr="007119F8">
        <w:rPr>
          <w:rFonts w:ascii="Trebuchet MS" w:hAnsi="Trebuchet MS"/>
          <w:color w:val="676A6E"/>
        </w:rPr>
        <w:t>δημοσιονομικά ουδέτερ</w:t>
      </w:r>
      <w:r>
        <w:rPr>
          <w:rFonts w:ascii="Trebuchet MS" w:hAnsi="Trebuchet MS"/>
          <w:color w:val="676A6E"/>
        </w:rPr>
        <w:t>ο</w:t>
      </w:r>
      <w:r w:rsidRPr="007119F8">
        <w:rPr>
          <w:rFonts w:ascii="Trebuchet MS" w:hAnsi="Trebuchet MS"/>
          <w:color w:val="676A6E"/>
        </w:rPr>
        <w:t xml:space="preserve"> ως προς τη διαμόρφωση του πρωτογενούς αποτελέσματος σε όρους </w:t>
      </w:r>
      <w:r>
        <w:rPr>
          <w:rFonts w:ascii="Trebuchet MS" w:hAnsi="Trebuchet MS"/>
          <w:color w:val="676A6E"/>
        </w:rPr>
        <w:t xml:space="preserve">σύμβασης χρηματοδοτικής </w:t>
      </w:r>
      <w:r w:rsidR="00100BC1">
        <w:rPr>
          <w:rFonts w:ascii="Trebuchet MS" w:hAnsi="Trebuchet MS"/>
          <w:color w:val="676A6E"/>
        </w:rPr>
        <w:t>διευκόλυνσης</w:t>
      </w:r>
      <w:r>
        <w:rPr>
          <w:rFonts w:ascii="Trebuchet MS" w:hAnsi="Trebuchet MS"/>
          <w:color w:val="676A6E"/>
        </w:rPr>
        <w:t xml:space="preserve"> (</w:t>
      </w:r>
      <w:r w:rsidRPr="007119F8">
        <w:rPr>
          <w:rFonts w:ascii="Trebuchet MS" w:hAnsi="Trebuchet MS"/>
          <w:color w:val="676A6E"/>
        </w:rPr>
        <w:t>ΣΧΔ</w:t>
      </w:r>
      <w:r>
        <w:rPr>
          <w:rFonts w:ascii="Trebuchet MS" w:hAnsi="Trebuchet MS"/>
          <w:color w:val="676A6E"/>
        </w:rPr>
        <w:t>)</w:t>
      </w:r>
      <w:r w:rsidRPr="007119F8">
        <w:rPr>
          <w:rFonts w:ascii="Trebuchet MS" w:hAnsi="Trebuchet MS"/>
          <w:color w:val="676A6E"/>
        </w:rPr>
        <w:t xml:space="preserve">, </w:t>
      </w:r>
      <w:r>
        <w:rPr>
          <w:rFonts w:ascii="Trebuchet MS" w:hAnsi="Trebuchet MS"/>
          <w:color w:val="676A6E"/>
        </w:rPr>
        <w:t xml:space="preserve">θα παρακώλυε </w:t>
      </w:r>
      <w:r w:rsidR="00385ACD">
        <w:rPr>
          <w:rFonts w:ascii="Trebuchet MS" w:hAnsi="Trebuchet MS"/>
          <w:color w:val="676A6E"/>
        </w:rPr>
        <w:t xml:space="preserve">όμως </w:t>
      </w:r>
      <w:r>
        <w:rPr>
          <w:rFonts w:ascii="Trebuchet MS" w:hAnsi="Trebuchet MS"/>
          <w:color w:val="676A6E"/>
        </w:rPr>
        <w:t xml:space="preserve">την ομαλή λειτουργία της αγοράς δεσμεύοντας </w:t>
      </w:r>
      <w:r w:rsidRPr="007119F8">
        <w:rPr>
          <w:rFonts w:ascii="Trebuchet MS" w:hAnsi="Trebuchet MS"/>
          <w:color w:val="676A6E"/>
        </w:rPr>
        <w:t>σημαντικούς πόρους.</w:t>
      </w:r>
      <w:r>
        <w:rPr>
          <w:rFonts w:ascii="Trebuchet MS" w:hAnsi="Trebuchet MS"/>
          <w:color w:val="676A6E"/>
        </w:rPr>
        <w:t xml:space="preserve"> Αυτό το φαινόμενο που έχει ενταθεί κατά περιόδους λόγω της αβεβαιότητας στην έκβαση της αξιολόγησης και της παράτασης των διαπραγματεύσεων, υποδηλώνει πόσο σημαντική θα ήταν για την οικονομία η υπέρβαση του καθεστώτος ανασφάλειας που έρχεται να επιβαρύνει την περιοριστική επίπτωση μιας δημοσιονομικής πολιτικής με υψηλά πρωτογενή πλεονάσματα.</w:t>
      </w:r>
    </w:p>
    <w:p w:rsidR="0013710D" w:rsidRPr="007119F8" w:rsidRDefault="0013710D" w:rsidP="00461423">
      <w:pPr>
        <w:jc w:val="both"/>
        <w:rPr>
          <w:rFonts w:ascii="Trebuchet MS" w:hAnsi="Trebuchet MS"/>
          <w:color w:val="676A6E"/>
        </w:rPr>
      </w:pPr>
      <w:r>
        <w:rPr>
          <w:rFonts w:ascii="Trebuchet MS" w:hAnsi="Trebuchet MS"/>
          <w:color w:val="676A6E"/>
        </w:rPr>
        <w:t>Οι εν εξελίξει επισκοπ</w:t>
      </w:r>
      <w:r w:rsidR="003D5629">
        <w:rPr>
          <w:rFonts w:ascii="Trebuchet MS" w:hAnsi="Trebuchet MS"/>
          <w:color w:val="676A6E"/>
        </w:rPr>
        <w:t>ήσεις των δημοσίων δαπανών ανά Υ</w:t>
      </w:r>
      <w:r>
        <w:rPr>
          <w:rFonts w:ascii="Trebuchet MS" w:hAnsi="Trebuchet MS"/>
          <w:color w:val="676A6E"/>
        </w:rPr>
        <w:t xml:space="preserve">πουργείο θα πρέπει να προβλέπουν περιθώρια ανακατανομής των δαπανών προς πιο παραγωγικές χρήσεις </w:t>
      </w:r>
      <w:r>
        <w:rPr>
          <w:rFonts w:ascii="Trebuchet MS" w:hAnsi="Trebuchet MS"/>
          <w:color w:val="676A6E"/>
        </w:rPr>
        <w:lastRenderedPageBreak/>
        <w:t>όπως και την αποδέσμευση δαπανών από τον Τακτικό Προϋπολογισμό υπέρ του ΠΔΕ (σκέλος εγχώριων πόρων).</w:t>
      </w:r>
    </w:p>
    <w:p w:rsidR="00860508" w:rsidRPr="005F6D0F" w:rsidRDefault="00860508" w:rsidP="00860508">
      <w:pPr>
        <w:spacing w:after="200" w:line="276" w:lineRule="auto"/>
        <w:jc w:val="both"/>
        <w:rPr>
          <w:rFonts w:ascii="Trebuchet MS" w:hAnsi="Trebuchet MS"/>
          <w:color w:val="676A6E"/>
        </w:rPr>
      </w:pPr>
      <w:r w:rsidRPr="005F6D0F">
        <w:rPr>
          <w:rFonts w:ascii="Trebuchet MS" w:hAnsi="Trebuchet MS"/>
          <w:color w:val="676A6E"/>
        </w:rPr>
        <w:t xml:space="preserve">Όσον αφορά στο </w:t>
      </w:r>
      <w:r w:rsidRPr="005F6D0F">
        <w:rPr>
          <w:rFonts w:ascii="Trebuchet MS" w:hAnsi="Trebuchet MS"/>
          <w:b/>
          <w:color w:val="676A6E"/>
        </w:rPr>
        <w:t>σκέλος των εσόδων</w:t>
      </w:r>
      <w:r w:rsidRPr="005F6D0F">
        <w:rPr>
          <w:rFonts w:ascii="Trebuchet MS" w:hAnsi="Trebuchet MS"/>
          <w:color w:val="676A6E"/>
        </w:rPr>
        <w:t xml:space="preserve"> η υπέρ-απόδοση για το έτος 2016 οφείλεται κυρίως στην αύξηση εσόδων της Γενικής Κυβέρνησης (ΓΚ), </w:t>
      </w:r>
      <w:r>
        <w:rPr>
          <w:rFonts w:ascii="Trebuchet MS" w:hAnsi="Trebuchet MS"/>
          <w:color w:val="676A6E"/>
        </w:rPr>
        <w:t>λόγω αυξημένης απόδοσης των άμεσων – έμμεσων φόρων και ασφαλιστικών εισφορών.</w:t>
      </w:r>
    </w:p>
    <w:p w:rsidR="00860508" w:rsidRPr="005F6D0F" w:rsidRDefault="001B170E" w:rsidP="00860508">
      <w:pPr>
        <w:spacing w:after="200" w:line="276" w:lineRule="auto"/>
        <w:jc w:val="both"/>
        <w:rPr>
          <w:rFonts w:ascii="Trebuchet MS" w:hAnsi="Trebuchet MS"/>
          <w:color w:val="676A6E"/>
        </w:rPr>
      </w:pPr>
      <w:r>
        <w:rPr>
          <w:rFonts w:ascii="Trebuchet MS" w:hAnsi="Trebuchet MS"/>
          <w:color w:val="676A6E"/>
        </w:rPr>
        <w:t>Εύλογα προκύπτει το ερώτημα, εά</w:t>
      </w:r>
      <w:r w:rsidR="00860508" w:rsidRPr="005F6D0F">
        <w:rPr>
          <w:rFonts w:ascii="Trebuchet MS" w:hAnsi="Trebuchet MS"/>
          <w:color w:val="676A6E"/>
        </w:rPr>
        <w:t xml:space="preserve">ν η υψηλή απόδοση των εσόδων θα διατηρηθεί </w:t>
      </w:r>
      <w:r w:rsidR="00860508">
        <w:rPr>
          <w:rFonts w:ascii="Trebuchet MS" w:hAnsi="Trebuchet MS"/>
          <w:color w:val="676A6E"/>
        </w:rPr>
        <w:t xml:space="preserve">τα επόμενα έτη: </w:t>
      </w:r>
      <w:r w:rsidR="00860508" w:rsidRPr="005F6D0F">
        <w:rPr>
          <w:rFonts w:ascii="Trebuchet MS" w:hAnsi="Trebuchet MS"/>
          <w:color w:val="676A6E"/>
        </w:rPr>
        <w:t>ποιο τμήμα</w:t>
      </w:r>
      <w:r w:rsidR="00860508">
        <w:rPr>
          <w:rFonts w:ascii="Trebuchet MS" w:hAnsi="Trebuchet MS"/>
          <w:color w:val="676A6E"/>
        </w:rPr>
        <w:t>, δηλαδή,</w:t>
      </w:r>
      <w:r w:rsidR="00860508" w:rsidRPr="005F6D0F">
        <w:rPr>
          <w:rFonts w:ascii="Trebuchet MS" w:hAnsi="Trebuchet MS"/>
          <w:color w:val="676A6E"/>
        </w:rPr>
        <w:t xml:space="preserve"> του πρωτογενούς πλεονάσματος προέρχεται από φορολογικά μέτρα μόνιμου χαρακτήρα, τα οποία αναμένεται να επιφέρουν ανάλογη δημοσιονομική </w:t>
      </w:r>
      <w:r w:rsidR="00860508">
        <w:rPr>
          <w:rFonts w:ascii="Trebuchet MS" w:hAnsi="Trebuchet MS"/>
          <w:color w:val="676A6E"/>
        </w:rPr>
        <w:t>απόδοση</w:t>
      </w:r>
      <w:r w:rsidR="00860508" w:rsidRPr="005F6D0F">
        <w:rPr>
          <w:rFonts w:ascii="Trebuchet MS" w:hAnsi="Trebuchet MS"/>
          <w:color w:val="676A6E"/>
        </w:rPr>
        <w:t xml:space="preserve"> και τα επόμενα έτη και αντίστοιχα, ποιο τμήμα </w:t>
      </w:r>
      <w:r w:rsidR="00860508">
        <w:rPr>
          <w:rFonts w:ascii="Trebuchet MS" w:hAnsi="Trebuchet MS"/>
          <w:color w:val="676A6E"/>
        </w:rPr>
        <w:t xml:space="preserve">προέρχεται </w:t>
      </w:r>
      <w:r w:rsidR="00860508" w:rsidRPr="005F6D0F">
        <w:rPr>
          <w:rFonts w:ascii="Trebuchet MS" w:hAnsi="Trebuchet MS"/>
          <w:color w:val="676A6E"/>
        </w:rPr>
        <w:t xml:space="preserve">από παρεμβάσεις εφάπαξ απόδοσης. </w:t>
      </w:r>
      <w:r w:rsidR="00860508">
        <w:rPr>
          <w:rFonts w:ascii="Trebuchet MS" w:hAnsi="Trebuchet MS"/>
          <w:color w:val="676A6E"/>
        </w:rPr>
        <w:t xml:space="preserve">Και τέλος, </w:t>
      </w:r>
      <w:r w:rsidR="00EF4E04">
        <w:rPr>
          <w:rFonts w:ascii="Trebuchet MS" w:hAnsi="Trebuchet MS"/>
          <w:color w:val="676A6E"/>
        </w:rPr>
        <w:t>ποιο</w:t>
      </w:r>
      <w:r w:rsidR="00860508">
        <w:rPr>
          <w:rFonts w:ascii="Trebuchet MS" w:hAnsi="Trebuchet MS"/>
          <w:color w:val="676A6E"/>
        </w:rPr>
        <w:t xml:space="preserve"> τμήμα μπορεί να αποκτήσει μονιμότερο χαρακτήρα, στο πλαίσιο βελτίωσης της παραγωγικότητας της φορολογικής διοίκησης. Εκτιμούμε ότι η πλειονότητα </w:t>
      </w:r>
      <w:r w:rsidR="00860508" w:rsidRPr="005F6D0F">
        <w:rPr>
          <w:rFonts w:ascii="Trebuchet MS" w:hAnsi="Trebuchet MS"/>
          <w:color w:val="676A6E"/>
        </w:rPr>
        <w:t>των μέτρων έχει μόνιμο χαρακτήρα και δύναται να αποδώσει εισπρακτικά ώστε να διατηρηθεί η θετική πορεία τ</w:t>
      </w:r>
      <w:r w:rsidR="00860508">
        <w:rPr>
          <w:rFonts w:ascii="Trebuchet MS" w:hAnsi="Trebuchet MS"/>
          <w:color w:val="676A6E"/>
        </w:rPr>
        <w:t>ων δημοσίων εσόδων που επιτεύχθ</w:t>
      </w:r>
      <w:r w:rsidR="00860508" w:rsidRPr="005F6D0F">
        <w:rPr>
          <w:rFonts w:ascii="Trebuchet MS" w:hAnsi="Trebuchet MS"/>
          <w:color w:val="676A6E"/>
        </w:rPr>
        <w:t>ηκε το 2016.</w:t>
      </w:r>
    </w:p>
    <w:p w:rsidR="00860508" w:rsidRDefault="00860508" w:rsidP="00860508">
      <w:pPr>
        <w:spacing w:after="200" w:line="276" w:lineRule="auto"/>
        <w:jc w:val="both"/>
        <w:rPr>
          <w:rFonts w:ascii="Trebuchet MS" w:hAnsi="Trebuchet MS"/>
          <w:color w:val="676A6E"/>
        </w:rPr>
      </w:pPr>
      <w:r w:rsidRPr="007E400E">
        <w:rPr>
          <w:rFonts w:ascii="Trebuchet MS" w:hAnsi="Trebuchet MS"/>
          <w:color w:val="676A6E"/>
        </w:rPr>
        <w:t xml:space="preserve">Οι πρόσφατες </w:t>
      </w:r>
      <w:r>
        <w:rPr>
          <w:rFonts w:ascii="Trebuchet MS" w:hAnsi="Trebuchet MS"/>
          <w:color w:val="676A6E"/>
        </w:rPr>
        <w:t xml:space="preserve">νομοθετικές </w:t>
      </w:r>
      <w:r w:rsidRPr="007E400E">
        <w:rPr>
          <w:rFonts w:ascii="Trebuchet MS" w:hAnsi="Trebuchet MS"/>
          <w:color w:val="676A6E"/>
        </w:rPr>
        <w:t xml:space="preserve">παρεμβάσεις, οι οποίες εφαρμόστηκαν μερικώς εντός του 2016 απέδωσαν περίπου 640 εκατ. ευρώ, ενώ τα αντίστοιχα προβλεπόμενα έσοδα για το 2017 και </w:t>
      </w:r>
      <w:r>
        <w:rPr>
          <w:rFonts w:ascii="Trebuchet MS" w:hAnsi="Trebuchet MS"/>
          <w:color w:val="676A6E"/>
        </w:rPr>
        <w:t>μετά</w:t>
      </w:r>
      <w:r w:rsidRPr="007E400E">
        <w:rPr>
          <w:rFonts w:ascii="Trebuchet MS" w:hAnsi="Trebuchet MS"/>
          <w:color w:val="676A6E"/>
        </w:rPr>
        <w:t xml:space="preserve"> εκτιμώνται στο ύψος των 2.500 εκατ. ευρώ. Οι παρεμβάσεις, οι οποίες εφαρμόστηκαν πρώτη φορά το έτος</w:t>
      </w:r>
      <w:r w:rsidR="003B18C1">
        <w:rPr>
          <w:rFonts w:ascii="Trebuchet MS" w:hAnsi="Trebuchet MS"/>
          <w:color w:val="676A6E"/>
        </w:rPr>
        <w:t xml:space="preserve"> 2017</w:t>
      </w:r>
      <w:r w:rsidR="003D5629">
        <w:rPr>
          <w:rFonts w:ascii="Trebuchet MS" w:hAnsi="Trebuchet MS"/>
          <w:color w:val="676A6E"/>
        </w:rPr>
        <w:t>,</w:t>
      </w:r>
      <w:r w:rsidRPr="007E400E">
        <w:rPr>
          <w:rFonts w:ascii="Trebuchet MS" w:hAnsi="Trebuchet MS"/>
          <w:color w:val="676A6E"/>
        </w:rPr>
        <w:t xml:space="preserve"> προβλέπεται να </w:t>
      </w:r>
      <w:r w:rsidRPr="00E61253">
        <w:rPr>
          <w:rFonts w:ascii="Trebuchet MS" w:hAnsi="Trebuchet MS"/>
          <w:color w:val="676A6E"/>
        </w:rPr>
        <w:t>αποδ</w:t>
      </w:r>
      <w:r>
        <w:rPr>
          <w:rFonts w:ascii="Trebuchet MS" w:hAnsi="Trebuchet MS"/>
          <w:color w:val="676A6E"/>
        </w:rPr>
        <w:t>ώσουν</w:t>
      </w:r>
      <w:r w:rsidR="001B170E">
        <w:rPr>
          <w:rFonts w:ascii="Trebuchet MS" w:hAnsi="Trebuchet MS"/>
          <w:color w:val="676A6E"/>
        </w:rPr>
        <w:t xml:space="preserve"> περίπου 500 εκατ. ευρώ</w:t>
      </w:r>
      <w:r w:rsidRPr="007E400E">
        <w:rPr>
          <w:rFonts w:ascii="Trebuchet MS" w:hAnsi="Trebuchet MS"/>
          <w:color w:val="676A6E"/>
        </w:rPr>
        <w:t xml:space="preserve">, </w:t>
      </w:r>
      <w:r w:rsidR="001B170E">
        <w:rPr>
          <w:rFonts w:ascii="Trebuchet MS" w:hAnsi="Trebuchet MS"/>
          <w:color w:val="676A6E"/>
        </w:rPr>
        <w:t xml:space="preserve">ενώ </w:t>
      </w:r>
      <w:r w:rsidR="00350866">
        <w:rPr>
          <w:rFonts w:ascii="Trebuchet MS" w:hAnsi="Trebuchet MS"/>
          <w:color w:val="676A6E"/>
        </w:rPr>
        <w:t>οι παρεμβάσεις εφάπαξ χαρακτήρα</w:t>
      </w:r>
      <w:r w:rsidRPr="007E400E">
        <w:rPr>
          <w:rFonts w:ascii="Trebuchet MS" w:hAnsi="Trebuchet MS"/>
          <w:color w:val="676A6E"/>
        </w:rPr>
        <w:t xml:space="preserve"> για το έτος 2016 εκτιμ</w:t>
      </w:r>
      <w:r>
        <w:rPr>
          <w:rFonts w:ascii="Trebuchet MS" w:hAnsi="Trebuchet MS"/>
          <w:color w:val="676A6E"/>
        </w:rPr>
        <w:t>ά</w:t>
      </w:r>
      <w:r w:rsidRPr="007E400E">
        <w:rPr>
          <w:rFonts w:ascii="Trebuchet MS" w:hAnsi="Trebuchet MS"/>
          <w:color w:val="676A6E"/>
        </w:rPr>
        <w:t xml:space="preserve">ται ότι </w:t>
      </w:r>
      <w:r>
        <w:rPr>
          <w:rFonts w:ascii="Trebuchet MS" w:hAnsi="Trebuchet MS"/>
          <w:color w:val="676A6E"/>
        </w:rPr>
        <w:t>ανήλθαν</w:t>
      </w:r>
      <w:r w:rsidRPr="007E400E">
        <w:rPr>
          <w:rFonts w:ascii="Trebuchet MS" w:hAnsi="Trebuchet MS"/>
          <w:color w:val="676A6E"/>
        </w:rPr>
        <w:t xml:space="preserve"> σε ποσοστό 30% του πρωτογενούς πλεονάσματος του έ</w:t>
      </w:r>
      <w:r w:rsidR="00350866">
        <w:rPr>
          <w:rFonts w:ascii="Trebuchet MS" w:hAnsi="Trebuchet MS"/>
          <w:color w:val="676A6E"/>
        </w:rPr>
        <w:t>τους</w:t>
      </w:r>
      <w:r w:rsidRPr="007E400E">
        <w:rPr>
          <w:rFonts w:ascii="Trebuchet MS" w:hAnsi="Trebuchet MS"/>
          <w:color w:val="676A6E"/>
        </w:rPr>
        <w:t xml:space="preserve">. </w:t>
      </w:r>
      <w:r>
        <w:rPr>
          <w:rFonts w:ascii="Trebuchet MS" w:hAnsi="Trebuchet MS"/>
          <w:color w:val="676A6E"/>
        </w:rPr>
        <w:t>Ο μόνιμος χαρακτήρας των μέτρων δε</w:t>
      </w:r>
      <w:r w:rsidR="00A5518E">
        <w:rPr>
          <w:rFonts w:ascii="Trebuchet MS" w:hAnsi="Trebuchet MS"/>
          <w:color w:val="676A6E"/>
        </w:rPr>
        <w:t>ν</w:t>
      </w:r>
      <w:r>
        <w:rPr>
          <w:rFonts w:ascii="Trebuchet MS" w:hAnsi="Trebuchet MS"/>
          <w:color w:val="676A6E"/>
        </w:rPr>
        <w:t xml:space="preserve"> διασφαλίζει από μόνος του την υψηλή απόδοσή τους στο χρόνο</w:t>
      </w:r>
      <w:r w:rsidRPr="007E400E">
        <w:rPr>
          <w:rFonts w:ascii="Trebuchet MS" w:hAnsi="Trebuchet MS"/>
          <w:color w:val="676A6E"/>
        </w:rPr>
        <w:t xml:space="preserve">, δεδομένου ότι </w:t>
      </w:r>
      <w:r>
        <w:rPr>
          <w:rFonts w:ascii="Trebuchet MS" w:hAnsi="Trebuchet MS"/>
          <w:color w:val="676A6E"/>
        </w:rPr>
        <w:t xml:space="preserve">αυτή </w:t>
      </w:r>
      <w:r w:rsidRPr="007E400E">
        <w:rPr>
          <w:rFonts w:ascii="Trebuchet MS" w:hAnsi="Trebuchet MS"/>
          <w:color w:val="676A6E"/>
        </w:rPr>
        <w:t xml:space="preserve">εξαρτάται από σειρά παραγόντων, όπως η </w:t>
      </w:r>
      <w:r>
        <w:rPr>
          <w:rFonts w:ascii="Trebuchet MS" w:hAnsi="Trebuchet MS"/>
          <w:color w:val="676A6E"/>
        </w:rPr>
        <w:t>αύξη</w:t>
      </w:r>
      <w:r w:rsidRPr="007E400E">
        <w:rPr>
          <w:rFonts w:ascii="Trebuchet MS" w:hAnsi="Trebuchet MS"/>
          <w:color w:val="676A6E"/>
        </w:rPr>
        <w:t>ση της απασχόλησης, η βελτίωση του οικονομικού κλίματος, η αύξηση της ιδιωτικής κατανάλωσης</w:t>
      </w:r>
      <w:r>
        <w:rPr>
          <w:rFonts w:ascii="Trebuchet MS" w:hAnsi="Trebuchet MS"/>
          <w:color w:val="676A6E"/>
        </w:rPr>
        <w:t xml:space="preserve"> κ.τ.ό</w:t>
      </w:r>
      <w:r w:rsidRPr="007E400E">
        <w:rPr>
          <w:rFonts w:ascii="Trebuchet MS" w:hAnsi="Trebuchet MS"/>
          <w:color w:val="676A6E"/>
        </w:rPr>
        <w:t>.</w:t>
      </w:r>
    </w:p>
    <w:p w:rsidR="00860508" w:rsidRDefault="00860508" w:rsidP="00860508">
      <w:pPr>
        <w:spacing w:after="200" w:line="276" w:lineRule="auto"/>
        <w:jc w:val="both"/>
        <w:rPr>
          <w:rFonts w:ascii="Trebuchet MS" w:hAnsi="Trebuchet MS"/>
          <w:color w:val="676A6E"/>
        </w:rPr>
      </w:pPr>
      <w:r>
        <w:rPr>
          <w:rFonts w:ascii="Trebuchet MS" w:hAnsi="Trebuchet MS"/>
          <w:color w:val="676A6E"/>
        </w:rPr>
        <w:t xml:space="preserve">Πέραν των ως άνω αναφερθεισών παρεμβάσεων μονίμου χαρακτήρα, υπάρχουν ήδη ψηφισθείσες </w:t>
      </w:r>
      <w:r w:rsidRPr="00EF4E04">
        <w:rPr>
          <w:rFonts w:ascii="Trebuchet MS" w:hAnsi="Trebuchet MS"/>
          <w:color w:val="676A6E"/>
        </w:rPr>
        <w:t>παρεμβάσεις με πρώτη εφαρμογή το έτος 20</w:t>
      </w:r>
      <w:r w:rsidR="0013710D" w:rsidRPr="00EF4E04">
        <w:rPr>
          <w:rFonts w:ascii="Trebuchet MS" w:hAnsi="Trebuchet MS"/>
          <w:color w:val="676A6E"/>
        </w:rPr>
        <w:t xml:space="preserve">18 και με εκτίμηση απόδοσης </w:t>
      </w:r>
      <w:r w:rsidRPr="00EF4E04">
        <w:rPr>
          <w:rFonts w:ascii="Trebuchet MS" w:hAnsi="Trebuchet MS"/>
          <w:color w:val="676A6E"/>
        </w:rPr>
        <w:t>περίπου 400 εκατ. ευρώ</w:t>
      </w:r>
      <w:r w:rsidRPr="00EF4E04">
        <w:rPr>
          <w:rStyle w:val="FootnoteReference"/>
          <w:rFonts w:ascii="Trebuchet MS" w:hAnsi="Trebuchet MS"/>
          <w:color w:val="676A6E"/>
        </w:rPr>
        <w:footnoteReference w:id="2"/>
      </w:r>
      <w:r w:rsidRPr="00EF4E04">
        <w:rPr>
          <w:rFonts w:ascii="Trebuchet MS" w:hAnsi="Trebuchet MS"/>
          <w:color w:val="676A6E"/>
        </w:rPr>
        <w:t xml:space="preserve"> ανά έτος. Επιπλέον, οι παρεμβάσεις δημοσιονομικού χαρακτήρα που προβλέπονται με την ψήφιση του Μ.Π.</w:t>
      </w:r>
      <w:r w:rsidR="003D5629">
        <w:rPr>
          <w:rFonts w:ascii="Trebuchet MS" w:hAnsi="Trebuchet MS"/>
          <w:color w:val="676A6E"/>
        </w:rPr>
        <w:t xml:space="preserve">Δ.Σ. </w:t>
      </w:r>
      <w:r w:rsidR="0013710D" w:rsidRPr="00EF4E04">
        <w:rPr>
          <w:rFonts w:ascii="Trebuchet MS" w:hAnsi="Trebuchet MS"/>
          <w:color w:val="676A6E"/>
        </w:rPr>
        <w:t>εκτιμάται ότι θ</w:t>
      </w:r>
      <w:r w:rsidRPr="00EF4E04">
        <w:rPr>
          <w:rFonts w:ascii="Trebuchet MS" w:hAnsi="Trebuchet MS"/>
          <w:color w:val="676A6E"/>
        </w:rPr>
        <w:t xml:space="preserve">α αποδώσουν 1900 εκατ. ευρώ για το έτος 2020 και 2100 </w:t>
      </w:r>
      <w:r w:rsidR="001B170E">
        <w:rPr>
          <w:rFonts w:ascii="Trebuchet MS" w:hAnsi="Trebuchet MS"/>
          <w:color w:val="676A6E"/>
        </w:rPr>
        <w:t xml:space="preserve">εκατ. </w:t>
      </w:r>
      <w:r w:rsidRPr="00EF4E04">
        <w:rPr>
          <w:rFonts w:ascii="Trebuchet MS" w:hAnsi="Trebuchet MS"/>
          <w:color w:val="676A6E"/>
        </w:rPr>
        <w:t xml:space="preserve">για το </w:t>
      </w:r>
      <w:r w:rsidR="001B170E">
        <w:rPr>
          <w:rFonts w:ascii="Trebuchet MS" w:hAnsi="Trebuchet MS"/>
          <w:color w:val="676A6E"/>
        </w:rPr>
        <w:t xml:space="preserve">έτος </w:t>
      </w:r>
      <w:r w:rsidRPr="00EF4E04">
        <w:rPr>
          <w:rFonts w:ascii="Trebuchet MS" w:hAnsi="Trebuchet MS"/>
          <w:color w:val="676A6E"/>
        </w:rPr>
        <w:t>2021. Σημειωτέον ότι τα συγκεκριμένα μέτρα (μείωση αφορολόγητου) προγραμματίζεται</w:t>
      </w:r>
      <w:r>
        <w:rPr>
          <w:rFonts w:ascii="Trebuchet MS" w:hAnsi="Trebuchet MS"/>
          <w:color w:val="676A6E"/>
        </w:rPr>
        <w:t xml:space="preserve"> να συνδυαστούν με μέτρα αντιστάθμισης της δημοσιονομικής επιβάρυνσης</w:t>
      </w:r>
      <w:r w:rsidR="00292E8C">
        <w:rPr>
          <w:rFonts w:ascii="Trebuchet MS" w:hAnsi="Trebuchet MS"/>
          <w:color w:val="676A6E"/>
        </w:rPr>
        <w:t>, τα οποία</w:t>
      </w:r>
      <w:r w:rsidR="001B170E">
        <w:rPr>
          <w:rFonts w:ascii="Trebuchet MS" w:hAnsi="Trebuchet MS"/>
          <w:color w:val="676A6E"/>
        </w:rPr>
        <w:t>,</w:t>
      </w:r>
      <w:r w:rsidR="00292E8C">
        <w:rPr>
          <w:rFonts w:ascii="Trebuchet MS" w:hAnsi="Trebuchet MS"/>
          <w:color w:val="676A6E"/>
        </w:rPr>
        <w:t xml:space="preserve"> όπως έχει συμφωνηθεί στο πλαίσιο της τεχνικής συμφωνίας για τη 2</w:t>
      </w:r>
      <w:r w:rsidR="00292E8C" w:rsidRPr="00292E8C">
        <w:rPr>
          <w:rFonts w:ascii="Trebuchet MS" w:hAnsi="Trebuchet MS"/>
          <w:color w:val="676A6E"/>
          <w:vertAlign w:val="superscript"/>
        </w:rPr>
        <w:t>η</w:t>
      </w:r>
      <w:r w:rsidR="00292E8C">
        <w:rPr>
          <w:rFonts w:ascii="Trebuchet MS" w:hAnsi="Trebuchet MS"/>
          <w:color w:val="676A6E"/>
        </w:rPr>
        <w:t xml:space="preserve"> αξιολόγηση</w:t>
      </w:r>
      <w:r w:rsidR="001B170E">
        <w:rPr>
          <w:rFonts w:ascii="Trebuchet MS" w:hAnsi="Trebuchet MS"/>
          <w:color w:val="676A6E"/>
        </w:rPr>
        <w:t>,</w:t>
      </w:r>
      <w:r w:rsidR="00292E8C">
        <w:rPr>
          <w:rFonts w:ascii="Trebuchet MS" w:hAnsi="Trebuchet MS"/>
          <w:color w:val="676A6E"/>
        </w:rPr>
        <w:t xml:space="preserve"> θα έχουν ουδέτερο δημοσιονομικό αποτέλεσμα κατά το 2020. Τα μέτρα αυτά με το ΜΠΔΣ επεκτείνονται και κατά το έτος 2021. </w:t>
      </w:r>
    </w:p>
    <w:p w:rsidR="00860508" w:rsidRDefault="00860508" w:rsidP="00860508">
      <w:pPr>
        <w:spacing w:after="200" w:line="276" w:lineRule="auto"/>
        <w:jc w:val="both"/>
        <w:rPr>
          <w:rFonts w:ascii="Trebuchet MS" w:hAnsi="Trebuchet MS"/>
          <w:color w:val="676A6E"/>
        </w:rPr>
      </w:pPr>
      <w:r w:rsidRPr="005F6D0F">
        <w:rPr>
          <w:rFonts w:ascii="Trebuchet MS" w:hAnsi="Trebuchet MS"/>
          <w:color w:val="676A6E"/>
        </w:rPr>
        <w:t xml:space="preserve">Η σημαντική αύξηση του αριθμού και του όγκου των συναλλαγών με ηλεκτρονικά μέσα πληρωμής (χρεωστικές και πιστωτικές κάρτες, μεταφορές πιστώσεων σε τραπεζικούς λογαριασμούς κλπ.) τα τελευταία χρόνια – λόγω και της εφαρμογής των περιορισμών στην ανάληψη μετρητών και </w:t>
      </w:r>
      <w:r w:rsidR="003D5629">
        <w:rPr>
          <w:rFonts w:ascii="Trebuchet MS" w:hAnsi="Trebuchet MS"/>
          <w:color w:val="676A6E"/>
        </w:rPr>
        <w:t xml:space="preserve">τη </w:t>
      </w:r>
      <w:r w:rsidRPr="005F6D0F">
        <w:rPr>
          <w:rFonts w:ascii="Trebuchet MS" w:hAnsi="Trebuchet MS"/>
          <w:color w:val="676A6E"/>
        </w:rPr>
        <w:t>μεταφορά κεφαλαίων - έχει συντελέσει</w:t>
      </w:r>
      <w:r>
        <w:rPr>
          <w:rFonts w:ascii="Trebuchet MS" w:hAnsi="Trebuchet MS"/>
          <w:color w:val="676A6E"/>
        </w:rPr>
        <w:t xml:space="preserve">: α) </w:t>
      </w:r>
      <w:r w:rsidRPr="005F6D0F">
        <w:rPr>
          <w:rFonts w:ascii="Trebuchet MS" w:hAnsi="Trebuchet MS"/>
          <w:color w:val="676A6E"/>
        </w:rPr>
        <w:t>σε περιορισμό της απόκρυψης εισοδημάτων, συνεπώς και στην αύξηση των φορολογικών εσόδων</w:t>
      </w:r>
      <w:r>
        <w:rPr>
          <w:rFonts w:ascii="Trebuchet MS" w:hAnsi="Trebuchet MS"/>
          <w:color w:val="676A6E"/>
        </w:rPr>
        <w:t xml:space="preserve"> β) σε επίσπευση των χρόνων απόδοσης του εισπραττόμενου ΦΠΑ</w:t>
      </w:r>
      <w:r w:rsidRPr="005F6D0F">
        <w:rPr>
          <w:rFonts w:ascii="Trebuchet MS" w:hAnsi="Trebuchet MS"/>
          <w:color w:val="676A6E"/>
        </w:rPr>
        <w:t xml:space="preserve">. Η θέσπιση του μέτρου </w:t>
      </w:r>
      <w:r>
        <w:rPr>
          <w:rFonts w:ascii="Trebuchet MS" w:hAnsi="Trebuchet MS"/>
          <w:color w:val="676A6E"/>
        </w:rPr>
        <w:t xml:space="preserve">προσδιορισμού του ύψους </w:t>
      </w:r>
      <w:r w:rsidRPr="005F6D0F">
        <w:rPr>
          <w:rFonts w:ascii="Trebuchet MS" w:hAnsi="Trebuchet MS"/>
          <w:color w:val="676A6E"/>
        </w:rPr>
        <w:t xml:space="preserve">αφορολόγητου εισοδήματος </w:t>
      </w:r>
      <w:r>
        <w:rPr>
          <w:rFonts w:ascii="Trebuchet MS" w:hAnsi="Trebuchet MS"/>
          <w:color w:val="676A6E"/>
        </w:rPr>
        <w:t xml:space="preserve">που δικαιούται κάθε φορολογούμενος </w:t>
      </w:r>
      <w:r w:rsidRPr="005F6D0F">
        <w:rPr>
          <w:rFonts w:ascii="Trebuchet MS" w:hAnsi="Trebuchet MS"/>
          <w:color w:val="676A6E"/>
        </w:rPr>
        <w:t>αποκλειστικά με ηλεκτρονικές συναλλαγές και η υποχρεωτική χρήση μηχανήματος αποδοχής καρτών (</w:t>
      </w:r>
      <w:r w:rsidRPr="005F6D0F">
        <w:rPr>
          <w:rFonts w:ascii="Trebuchet MS" w:hAnsi="Trebuchet MS"/>
          <w:color w:val="676A6E"/>
          <w:lang w:val="en-GB"/>
        </w:rPr>
        <w:t>POS</w:t>
      </w:r>
      <w:r w:rsidRPr="005F6D0F">
        <w:rPr>
          <w:rFonts w:ascii="Trebuchet MS" w:hAnsi="Trebuchet MS"/>
          <w:color w:val="676A6E"/>
        </w:rPr>
        <w:t xml:space="preserve">) </w:t>
      </w:r>
      <w:r>
        <w:rPr>
          <w:rFonts w:ascii="Trebuchet MS" w:hAnsi="Trebuchet MS"/>
          <w:color w:val="676A6E"/>
        </w:rPr>
        <w:t xml:space="preserve">σε </w:t>
      </w:r>
      <w:r w:rsidRPr="005F6D0F">
        <w:rPr>
          <w:rFonts w:ascii="Trebuchet MS" w:hAnsi="Trebuchet MS"/>
          <w:color w:val="676A6E"/>
        </w:rPr>
        <w:t xml:space="preserve">πληθώρα </w:t>
      </w:r>
      <w:r>
        <w:rPr>
          <w:rFonts w:ascii="Trebuchet MS" w:hAnsi="Trebuchet MS"/>
          <w:color w:val="676A6E"/>
        </w:rPr>
        <w:t>δραστηριοτήτων</w:t>
      </w:r>
      <w:r w:rsidRPr="005F6D0F">
        <w:rPr>
          <w:rFonts w:ascii="Trebuchet MS" w:hAnsi="Trebuchet MS"/>
          <w:color w:val="676A6E"/>
        </w:rPr>
        <w:t xml:space="preserve"> κυρίως </w:t>
      </w:r>
      <w:r>
        <w:rPr>
          <w:rFonts w:ascii="Trebuchet MS" w:hAnsi="Trebuchet MS"/>
          <w:color w:val="676A6E"/>
        </w:rPr>
        <w:t>υπηρεσιών</w:t>
      </w:r>
      <w:r w:rsidR="003D5629">
        <w:rPr>
          <w:rFonts w:ascii="Trebuchet MS" w:hAnsi="Trebuchet MS"/>
          <w:color w:val="676A6E"/>
        </w:rPr>
        <w:t xml:space="preserve"> (όπως</w:t>
      </w:r>
      <w:r w:rsidRPr="005F6D0F">
        <w:rPr>
          <w:rFonts w:ascii="Trebuchet MS" w:hAnsi="Trebuchet MS"/>
          <w:color w:val="676A6E"/>
        </w:rPr>
        <w:t xml:space="preserve"> νομικές υπηρεσίες, εκπαίδευση, εστίαση, ιατρικές υπηρεσίες) θα συμβάλει </w:t>
      </w:r>
      <w:r>
        <w:rPr>
          <w:rFonts w:ascii="Trebuchet MS" w:hAnsi="Trebuchet MS"/>
          <w:color w:val="676A6E"/>
        </w:rPr>
        <w:t>με τη σειρά της σε περαιτέρω</w:t>
      </w:r>
      <w:r w:rsidRPr="005F6D0F">
        <w:rPr>
          <w:rFonts w:ascii="Trebuchet MS" w:hAnsi="Trebuchet MS"/>
          <w:color w:val="676A6E"/>
        </w:rPr>
        <w:t xml:space="preserve"> αύξηση των </w:t>
      </w:r>
      <w:r>
        <w:rPr>
          <w:rFonts w:ascii="Trebuchet MS" w:hAnsi="Trebuchet MS"/>
          <w:color w:val="676A6E"/>
        </w:rPr>
        <w:lastRenderedPageBreak/>
        <w:t>ηλεκτρονικών συναλλαγών</w:t>
      </w:r>
      <w:r w:rsidRPr="005F6D0F">
        <w:rPr>
          <w:rFonts w:ascii="Trebuchet MS" w:hAnsi="Trebuchet MS"/>
          <w:color w:val="676A6E"/>
        </w:rPr>
        <w:t>.</w:t>
      </w:r>
      <w:r>
        <w:rPr>
          <w:rFonts w:ascii="Trebuchet MS" w:hAnsi="Trebuchet MS"/>
          <w:color w:val="676A6E"/>
        </w:rPr>
        <w:t xml:space="preserve"> Επιπλέον </w:t>
      </w:r>
      <w:r w:rsidRPr="006E3AA6">
        <w:rPr>
          <w:rFonts w:ascii="Trebuchet MS" w:hAnsi="Trebuchet MS"/>
          <w:color w:val="676A6E"/>
        </w:rPr>
        <w:t>η βελτίωση στο μηχανισμό συλλογής εσόδων (το 2016 τα ποσοστά εισπραξιμότητας του φόρου εισοδήματος φυσικών και νομικών προσώπων, περιουσίας και Φ.Π.Α. ήταν αυξημένα σε σχέση με το προηγούμενο έτος)</w:t>
      </w:r>
      <w:r>
        <w:rPr>
          <w:rFonts w:ascii="Trebuchet MS" w:hAnsi="Trebuchet MS"/>
          <w:color w:val="676A6E"/>
        </w:rPr>
        <w:t xml:space="preserve"> η οποία έχει επιτευχθεί τα τελευταία έτη θα συμβάλει στη διατήρηση μέρους της απόδοσης.</w:t>
      </w:r>
      <w:r w:rsidRPr="005F6D0F">
        <w:rPr>
          <w:rFonts w:ascii="Trebuchet MS" w:hAnsi="Trebuchet MS"/>
          <w:color w:val="676A6E"/>
        </w:rPr>
        <w:t xml:space="preserve"> </w:t>
      </w:r>
      <w:r>
        <w:rPr>
          <w:rFonts w:ascii="Trebuchet MS" w:hAnsi="Trebuchet MS"/>
          <w:color w:val="676A6E"/>
        </w:rPr>
        <w:t>Αντίστοιχα οφέλη πιθανότατα έχει αποδώσει η ενεργοποίηση των μηχανισμών αναγκαστικής είσπραξης οφειλώ</w:t>
      </w:r>
      <w:r w:rsidR="000E7778">
        <w:rPr>
          <w:rFonts w:ascii="Trebuchet MS" w:hAnsi="Trebuchet MS"/>
          <w:color w:val="676A6E"/>
        </w:rPr>
        <w:t>ν από τις υπηρεσίες της ΑΑΔΕ – εά</w:t>
      </w:r>
      <w:r>
        <w:rPr>
          <w:rFonts w:ascii="Trebuchet MS" w:hAnsi="Trebuchet MS"/>
          <w:color w:val="676A6E"/>
        </w:rPr>
        <w:t>ν και ως προς αυτό πρέπει κανείς να είναι σε επιφυλακή για το ενδεχόμενο οι δράσεις αυτές να έχουν αρνητικές επιπτώσεις στη λειτουργία τομέων της αγοράς και στην απασχόληση</w:t>
      </w:r>
      <w:r w:rsidR="007C70F6">
        <w:rPr>
          <w:rFonts w:ascii="Trebuchet MS" w:hAnsi="Trebuchet MS"/>
          <w:color w:val="676A6E"/>
        </w:rPr>
        <w:t>,</w:t>
      </w:r>
      <w:r>
        <w:rPr>
          <w:rFonts w:ascii="Trebuchet MS" w:hAnsi="Trebuchet MS"/>
          <w:color w:val="676A6E"/>
        </w:rPr>
        <w:t xml:space="preserve"> εφόσ</w:t>
      </w:r>
      <w:r w:rsidR="007C70F6">
        <w:rPr>
          <w:rFonts w:ascii="Trebuchet MS" w:hAnsi="Trebuchet MS"/>
          <w:color w:val="676A6E"/>
        </w:rPr>
        <w:t xml:space="preserve">ον λάβουν διαστάσεις, που </w:t>
      </w:r>
      <w:r>
        <w:rPr>
          <w:rFonts w:ascii="Trebuchet MS" w:hAnsi="Trebuchet MS"/>
          <w:color w:val="676A6E"/>
        </w:rPr>
        <w:t xml:space="preserve">μπορεί να σχετίζονται μεν με το ύψος των συσσωρευμένων ληξιπρόθεσμων οφειλών αλλά δεν ελέγχονται επαρκώς με ευρύτερα οικονομικά και κοινωνικά κριτήρια. </w:t>
      </w:r>
    </w:p>
    <w:p w:rsidR="0063380A" w:rsidRDefault="0063380A" w:rsidP="00860508">
      <w:pPr>
        <w:spacing w:after="200" w:line="276" w:lineRule="auto"/>
        <w:jc w:val="both"/>
        <w:rPr>
          <w:rFonts w:ascii="Trebuchet MS" w:hAnsi="Trebuchet MS"/>
          <w:color w:val="676A6E"/>
        </w:rPr>
      </w:pPr>
    </w:p>
    <w:p w:rsidR="00371BD2" w:rsidRDefault="00371BD2" w:rsidP="00D255B5">
      <w:pPr>
        <w:jc w:val="both"/>
        <w:rPr>
          <w:rFonts w:ascii="Trebuchet MS" w:hAnsi="Trebuchet MS"/>
          <w:b/>
          <w:color w:val="00A3E0"/>
          <w:sz w:val="28"/>
          <w:szCs w:val="28"/>
        </w:rPr>
      </w:pPr>
      <w:r w:rsidRPr="00FC35EE">
        <w:rPr>
          <w:rFonts w:ascii="Trebuchet MS" w:hAnsi="Trebuchet MS"/>
          <w:b/>
          <w:color w:val="00A3E0"/>
          <w:sz w:val="28"/>
          <w:szCs w:val="28"/>
        </w:rPr>
        <w:t>Μακροοικονομικές Προβλέψεις</w:t>
      </w:r>
    </w:p>
    <w:p w:rsidR="00860508" w:rsidRPr="00021C19" w:rsidRDefault="00860508" w:rsidP="00860508">
      <w:pPr>
        <w:spacing w:after="0" w:line="240" w:lineRule="auto"/>
        <w:jc w:val="both"/>
        <w:rPr>
          <w:rFonts w:ascii="Trebuchet MS" w:hAnsi="Trebuchet MS"/>
          <w:color w:val="676A6E"/>
        </w:rPr>
      </w:pPr>
      <w:r w:rsidRPr="00021C19">
        <w:rPr>
          <w:rFonts w:ascii="Trebuchet MS" w:hAnsi="Trebuchet MS"/>
          <w:color w:val="676A6E"/>
        </w:rPr>
        <w:t xml:space="preserve">Το σενάριο των μεσοπρόθεσμων μακροοικονομικών εξελίξεων της περιόδου 2017-2021 στηρίζεται στις εξής αρχικές παραδοχές: </w:t>
      </w:r>
    </w:p>
    <w:p w:rsidR="00860508" w:rsidRPr="00021C19" w:rsidRDefault="002E630B" w:rsidP="00860508">
      <w:pPr>
        <w:numPr>
          <w:ilvl w:val="0"/>
          <w:numId w:val="9"/>
        </w:numPr>
        <w:spacing w:after="0" w:line="240" w:lineRule="auto"/>
        <w:jc w:val="both"/>
        <w:rPr>
          <w:rFonts w:ascii="Trebuchet MS" w:hAnsi="Trebuchet MS"/>
          <w:color w:val="676A6E"/>
        </w:rPr>
      </w:pPr>
      <w:r>
        <w:rPr>
          <w:rFonts w:ascii="Trebuchet MS" w:hAnsi="Trebuchet MS"/>
          <w:color w:val="676A6E"/>
        </w:rPr>
        <w:t>Κλείσιμο</w:t>
      </w:r>
      <w:r w:rsidR="00860508" w:rsidRPr="00021C19">
        <w:rPr>
          <w:rFonts w:ascii="Trebuchet MS" w:hAnsi="Trebuchet MS"/>
          <w:color w:val="676A6E"/>
        </w:rPr>
        <w:t xml:space="preserve"> της 2</w:t>
      </w:r>
      <w:r w:rsidR="00860508" w:rsidRPr="00021C19">
        <w:rPr>
          <w:rFonts w:ascii="Trebuchet MS" w:hAnsi="Trebuchet MS"/>
          <w:color w:val="676A6E"/>
          <w:vertAlign w:val="superscript"/>
        </w:rPr>
        <w:t>ης</w:t>
      </w:r>
      <w:r w:rsidR="00860508" w:rsidRPr="00021C19">
        <w:rPr>
          <w:rFonts w:ascii="Trebuchet MS" w:hAnsi="Trebuchet MS"/>
          <w:color w:val="676A6E"/>
        </w:rPr>
        <w:t xml:space="preserve"> αξιολόγησης </w:t>
      </w:r>
      <w:r>
        <w:rPr>
          <w:rFonts w:ascii="Trebuchet MS" w:hAnsi="Trebuchet MS"/>
          <w:color w:val="676A6E"/>
        </w:rPr>
        <w:t xml:space="preserve">και ομαλή </w:t>
      </w:r>
      <w:r w:rsidR="00860508" w:rsidRPr="00021C19">
        <w:rPr>
          <w:rFonts w:ascii="Trebuchet MS" w:hAnsi="Trebuchet MS"/>
          <w:color w:val="676A6E"/>
        </w:rPr>
        <w:t>ολοκλήρωση του ισχύοντος προγράμματος</w:t>
      </w:r>
    </w:p>
    <w:p w:rsidR="00860508" w:rsidRPr="00021C19" w:rsidRDefault="00860508" w:rsidP="00860508">
      <w:pPr>
        <w:numPr>
          <w:ilvl w:val="0"/>
          <w:numId w:val="9"/>
        </w:numPr>
        <w:spacing w:after="0" w:line="240" w:lineRule="auto"/>
        <w:jc w:val="both"/>
        <w:rPr>
          <w:rFonts w:ascii="Trebuchet MS" w:hAnsi="Trebuchet MS"/>
          <w:color w:val="676A6E"/>
        </w:rPr>
      </w:pPr>
      <w:r w:rsidRPr="00021C19">
        <w:rPr>
          <w:rFonts w:ascii="Trebuchet MS" w:hAnsi="Trebuchet MS"/>
          <w:color w:val="676A6E"/>
        </w:rPr>
        <w:t>διατύπωση δεσμευτικής πολιτικής απόφασης για το πλέγμα και το χρονοδιάγραμμα των μεσοπρόθεσμων μέτρων που θα καθιστούν μακροχρόνια διαχειρίσιμο το δημόσιο χρέος</w:t>
      </w:r>
    </w:p>
    <w:p w:rsidR="00860508" w:rsidRPr="00021C19" w:rsidRDefault="00860508" w:rsidP="00860508">
      <w:pPr>
        <w:numPr>
          <w:ilvl w:val="0"/>
          <w:numId w:val="9"/>
        </w:numPr>
        <w:spacing w:after="0" w:line="240" w:lineRule="auto"/>
        <w:jc w:val="both"/>
        <w:rPr>
          <w:rFonts w:ascii="Trebuchet MS" w:hAnsi="Trebuchet MS"/>
          <w:color w:val="676A6E"/>
        </w:rPr>
      </w:pPr>
      <w:r w:rsidRPr="00021C19">
        <w:rPr>
          <w:rFonts w:ascii="Trebuchet MS" w:hAnsi="Trebuchet MS"/>
          <w:color w:val="676A6E"/>
        </w:rPr>
        <w:t>ένταξη του τραπεζικού συστήματος στις ρυθμίσεις του προγράμματος ποσοτικής χαλάρωσης της ΕΚΤ.</w:t>
      </w:r>
    </w:p>
    <w:p w:rsidR="00860508" w:rsidRPr="00021C19" w:rsidRDefault="00860508" w:rsidP="00860508">
      <w:pPr>
        <w:spacing w:after="0" w:line="240" w:lineRule="auto"/>
        <w:jc w:val="both"/>
        <w:rPr>
          <w:rFonts w:ascii="Trebuchet MS" w:hAnsi="Trebuchet MS"/>
          <w:color w:val="676A6E"/>
        </w:rPr>
      </w:pPr>
      <w:r w:rsidRPr="00021C19">
        <w:rPr>
          <w:rFonts w:ascii="Trebuchet MS" w:hAnsi="Trebuchet MS"/>
          <w:color w:val="676A6E"/>
        </w:rPr>
        <w:t>Υπό τις αν</w:t>
      </w:r>
      <w:r w:rsidR="00377B0A">
        <w:rPr>
          <w:rFonts w:ascii="Trebuchet MS" w:hAnsi="Trebuchet MS"/>
          <w:color w:val="676A6E"/>
        </w:rPr>
        <w:t xml:space="preserve">ωτέρω σωρευτικές προϋποθέσεις, </w:t>
      </w:r>
      <w:r w:rsidRPr="00021C19">
        <w:rPr>
          <w:rFonts w:ascii="Trebuchet MS" w:hAnsi="Trebuchet MS"/>
          <w:color w:val="676A6E"/>
        </w:rPr>
        <w:t>οι θετικές προσδοκίες που είναι ήδη έκδηλες στα μηνύματα των αγορών, σε συνδυασμό με την ομαλή από π</w:t>
      </w:r>
      <w:r w:rsidR="00377B0A">
        <w:rPr>
          <w:rFonts w:ascii="Trebuchet MS" w:hAnsi="Trebuchet MS"/>
          <w:color w:val="676A6E"/>
        </w:rPr>
        <w:t xml:space="preserve">λευράς γεωπολιτικών παραμέτρων </w:t>
      </w:r>
      <w:r w:rsidRPr="00021C19">
        <w:rPr>
          <w:rFonts w:ascii="Trebuchet MS" w:hAnsi="Trebuchet MS"/>
          <w:color w:val="676A6E"/>
        </w:rPr>
        <w:t xml:space="preserve">εξέλιξη </w:t>
      </w:r>
      <w:r w:rsidR="001C3C91">
        <w:rPr>
          <w:rFonts w:ascii="Trebuchet MS" w:hAnsi="Trebuchet MS"/>
          <w:color w:val="676A6E"/>
        </w:rPr>
        <w:t>της τουριστικής περιόδου δύνανται</w:t>
      </w:r>
      <w:r w:rsidRPr="00021C19">
        <w:rPr>
          <w:rFonts w:ascii="Trebuchet MS" w:hAnsi="Trebuchet MS"/>
          <w:color w:val="676A6E"/>
        </w:rPr>
        <w:t xml:space="preserve"> να ωθήσουν την ελληνι</w:t>
      </w:r>
      <w:r w:rsidR="00377B0A">
        <w:rPr>
          <w:rFonts w:ascii="Trebuchet MS" w:hAnsi="Trebuchet MS"/>
          <w:color w:val="676A6E"/>
        </w:rPr>
        <w:t>κή οικονομία στο πέρασμα από τη</w:t>
      </w:r>
      <w:r w:rsidRPr="00021C19">
        <w:rPr>
          <w:rFonts w:ascii="Trebuchet MS" w:hAnsi="Trebuchet MS"/>
          <w:color w:val="676A6E"/>
        </w:rPr>
        <w:t xml:space="preserve"> φάση στασιμότητας σε μια φάση σθεναρής ανάκαμψης. Κατ’ ακολουθία</w:t>
      </w:r>
      <w:r w:rsidR="002E630B">
        <w:rPr>
          <w:rFonts w:ascii="Trebuchet MS" w:hAnsi="Trebuchet MS"/>
          <w:color w:val="676A6E"/>
        </w:rPr>
        <w:t>,</w:t>
      </w:r>
      <w:r w:rsidRPr="00021C19">
        <w:rPr>
          <w:rFonts w:ascii="Trebuchet MS" w:hAnsi="Trebuchet MS"/>
          <w:color w:val="676A6E"/>
        </w:rPr>
        <w:t xml:space="preserve"> μια διατηρήσιμη ενίσχυση της οικονομικής δραστηριότητας μέχρι τα τέλη του έτους μπορεί να διορθώσει τις μέχρι σήμερα αντιφατικές μακροοικονομικές επιδόσεις και να ωθήσει την οικονομία σε σχετικά ικανοποιητικούς ρυθμούς μεγέθυνσης για το 2017. Η έκταση του δυναμισμού με τον οποίο θα αντιδράσει η οικονομία στο δεύτερο εξάμηνο του έτους θα συμβάλει αποφασιστικά σε σημαντική ενίσχυση των ρυθμών μεγέθυνσης του επόμενου έτους. </w:t>
      </w:r>
    </w:p>
    <w:p w:rsidR="00860508" w:rsidRPr="00021C19" w:rsidRDefault="00860508" w:rsidP="00860508">
      <w:pPr>
        <w:spacing w:after="0" w:line="240" w:lineRule="auto"/>
        <w:jc w:val="both"/>
        <w:rPr>
          <w:rFonts w:ascii="Trebuchet MS" w:hAnsi="Trebuchet MS"/>
          <w:color w:val="676A6E"/>
        </w:rPr>
      </w:pPr>
      <w:r w:rsidRPr="00021C19">
        <w:rPr>
          <w:rFonts w:ascii="Trebuchet MS" w:hAnsi="Trebuchet MS"/>
          <w:color w:val="676A6E"/>
        </w:rPr>
        <w:t>Η επίτευξη των στόχων για το ερχόμενο και τα επόμενα έτη συναρτάται στενά με τις δημοσιονομικές επιδόσεις της χώρας καθώς και με συνθήκες σταθερότητας και σχετικής ανάκαμψης σε ευρωπαϊκή κλίμακα</w:t>
      </w:r>
      <w:r w:rsidR="0095376A">
        <w:rPr>
          <w:rFonts w:ascii="Trebuchet MS" w:hAnsi="Trebuchet MS"/>
          <w:color w:val="676A6E"/>
        </w:rPr>
        <w:t>,</w:t>
      </w:r>
      <w:r w:rsidRPr="00021C19">
        <w:rPr>
          <w:rFonts w:ascii="Trebuchet MS" w:hAnsi="Trebuchet MS"/>
          <w:color w:val="676A6E"/>
        </w:rPr>
        <w:t xml:space="preserve"> παρά τους κλυδωνισμούς που αναμένεται να προξενήσουν οι δ</w:t>
      </w:r>
      <w:r w:rsidR="00377B0A">
        <w:rPr>
          <w:rFonts w:ascii="Trebuchet MS" w:hAnsi="Trebuchet MS"/>
          <w:color w:val="676A6E"/>
        </w:rPr>
        <w:t>ιαδικασίες εξόδου του Ηνωμένου Β</w:t>
      </w:r>
      <w:r w:rsidR="0095376A">
        <w:rPr>
          <w:rFonts w:ascii="Trebuchet MS" w:hAnsi="Trebuchet MS"/>
          <w:color w:val="676A6E"/>
        </w:rPr>
        <w:t>ασιλείου από την ΕΕ και η ενδεχόμενη άνοδος των τιμών του πετρελαίου.</w:t>
      </w:r>
    </w:p>
    <w:p w:rsidR="00860508" w:rsidRDefault="00860508" w:rsidP="00FC35EE">
      <w:pPr>
        <w:jc w:val="both"/>
        <w:rPr>
          <w:rFonts w:ascii="Trebuchet MS" w:hAnsi="Trebuchet MS"/>
          <w:b/>
          <w:color w:val="00A3E0"/>
          <w:sz w:val="24"/>
          <w:szCs w:val="24"/>
        </w:rPr>
      </w:pPr>
    </w:p>
    <w:p w:rsidR="00371BD2" w:rsidRPr="00FC35EE" w:rsidRDefault="00371BD2" w:rsidP="00FC35EE">
      <w:pPr>
        <w:jc w:val="both"/>
        <w:rPr>
          <w:rFonts w:ascii="Trebuchet MS" w:hAnsi="Trebuchet MS"/>
          <w:b/>
          <w:color w:val="00A3E0"/>
          <w:sz w:val="24"/>
          <w:szCs w:val="24"/>
        </w:rPr>
      </w:pPr>
      <w:r w:rsidRPr="00FC35EE">
        <w:rPr>
          <w:rFonts w:ascii="Trebuchet MS" w:hAnsi="Trebuchet MS"/>
          <w:b/>
          <w:color w:val="00A3E0"/>
          <w:sz w:val="24"/>
          <w:szCs w:val="24"/>
        </w:rPr>
        <w:t>To «nexus» υψηλών πλεονασμάτων και μεγέθυνσης.</w:t>
      </w:r>
    </w:p>
    <w:p w:rsidR="00371BD2" w:rsidRDefault="00371BD2" w:rsidP="00786EFD">
      <w:pPr>
        <w:jc w:val="both"/>
        <w:rPr>
          <w:rFonts w:ascii="Trebuchet MS" w:hAnsi="Trebuchet MS"/>
          <w:color w:val="676A6E"/>
        </w:rPr>
      </w:pPr>
      <w:r w:rsidRPr="00FC35EE">
        <w:rPr>
          <w:rFonts w:ascii="Trebuchet MS" w:hAnsi="Trebuchet MS"/>
          <w:color w:val="676A6E"/>
        </w:rPr>
        <w:t>Ο πολύ υψηλός στόχος του ΜΠΔΣ 2018-2021 για τα πρωτογενή πλεονάσματα θέτει εκ των πραγμάτων σοβαρούς περιορισμούς στην οικονομική δραστηριότητα. Θεωρούμε ότι η διατήρηση πολύ υψηλών πρωτογενών πλεονασμάτων αφαιρεί δημοσιονομικό χώρο που μπορεί να λειτουργήσει υποβοηθητικά στην επιδίωξη της διατηρήσιμης μεγέθυνσης. Έτσι εκ πρώτης όψεως</w:t>
      </w:r>
      <w:r w:rsidR="00377B0A">
        <w:rPr>
          <w:rFonts w:ascii="Trebuchet MS" w:hAnsi="Trebuchet MS"/>
          <w:color w:val="676A6E"/>
        </w:rPr>
        <w:t>,</w:t>
      </w:r>
      <w:r w:rsidRPr="00FC35EE">
        <w:rPr>
          <w:rFonts w:ascii="Trebuchet MS" w:hAnsi="Trebuchet MS"/>
          <w:color w:val="676A6E"/>
        </w:rPr>
        <w:t xml:space="preserve"> </w:t>
      </w:r>
      <w:r w:rsidRPr="005F3D55">
        <w:rPr>
          <w:rFonts w:ascii="Trebuchet MS" w:hAnsi="Trebuchet MS"/>
          <w:color w:val="676A6E"/>
        </w:rPr>
        <w:t>ο στόχος για διατήρηση πρωτογενών πλεονασμάτων της τάξης του 3,5% σε μεσοπρόθεσμο χρονικό ορ</w:t>
      </w:r>
      <w:r w:rsidR="00D056A7">
        <w:rPr>
          <w:rFonts w:ascii="Trebuchet MS" w:hAnsi="Trebuchet MS"/>
          <w:color w:val="676A6E"/>
        </w:rPr>
        <w:t xml:space="preserve">ίζοντα, αντιμάχεται εν μέρει </w:t>
      </w:r>
      <w:r w:rsidRPr="005F3D55">
        <w:rPr>
          <w:rFonts w:ascii="Trebuchet MS" w:hAnsi="Trebuchet MS"/>
          <w:color w:val="676A6E"/>
        </w:rPr>
        <w:t>τον στόχο για πραγματική αύξηση του Α.Ε.Π. με ρυθμούς άνω του 2%. Ωστόσο ο συνδυασμός αυτός θα μπορούσε να είναι εφικτός υπό προϋποθέσεις, τις οποίες παραθέτουμε στη συνέχεια:</w:t>
      </w:r>
    </w:p>
    <w:p w:rsidR="003D4685" w:rsidRPr="00FC35EE" w:rsidRDefault="003D4685" w:rsidP="00786EFD">
      <w:pPr>
        <w:jc w:val="both"/>
        <w:rPr>
          <w:rFonts w:ascii="Trebuchet MS" w:hAnsi="Trebuchet MS"/>
          <w:color w:val="676A6E"/>
        </w:rPr>
      </w:pPr>
    </w:p>
    <w:p w:rsidR="00987D04" w:rsidRDefault="00987D04">
      <w:pPr>
        <w:spacing w:after="0" w:line="240" w:lineRule="auto"/>
        <w:rPr>
          <w:rFonts w:ascii="Trebuchet MS" w:hAnsi="Trebuchet MS"/>
        </w:rPr>
      </w:pPr>
    </w:p>
    <w:p w:rsidR="00987D04" w:rsidRPr="00124183" w:rsidRDefault="00987D04" w:rsidP="00987D04">
      <w:pPr>
        <w:ind w:left="1134" w:hanging="1134"/>
        <w:jc w:val="both"/>
        <w:rPr>
          <w:rFonts w:ascii="Trebuchet MS" w:hAnsi="Trebuchet MS"/>
          <w:b/>
          <w:color w:val="00A3E0"/>
        </w:rPr>
      </w:pPr>
      <w:r w:rsidRPr="00FC35EE">
        <w:rPr>
          <w:rFonts w:ascii="Trebuchet MS" w:hAnsi="Trebuchet MS"/>
          <w:b/>
          <w:color w:val="676A6E"/>
        </w:rPr>
        <w:lastRenderedPageBreak/>
        <w:t xml:space="preserve">Πίνακας </w:t>
      </w:r>
      <w:r w:rsidR="00D677D0">
        <w:rPr>
          <w:rFonts w:ascii="Trebuchet MS" w:hAnsi="Trebuchet MS"/>
          <w:b/>
          <w:color w:val="676A6E"/>
        </w:rPr>
        <w:t>1</w:t>
      </w:r>
      <w:r w:rsidRPr="00FC35EE">
        <w:rPr>
          <w:rFonts w:ascii="Trebuchet MS" w:hAnsi="Trebuchet MS"/>
          <w:b/>
          <w:color w:val="676A6E"/>
        </w:rPr>
        <w:t>:</w:t>
      </w:r>
      <w:r w:rsidRPr="00FC35EE">
        <w:rPr>
          <w:rFonts w:ascii="Trebuchet MS" w:hAnsi="Trebuchet MS"/>
          <w:b/>
          <w:color w:val="00A3E0"/>
        </w:rPr>
        <w:t xml:space="preserve"> Προβλέψεις Μακροοικονομικών Μεγεθών (ΑΕΠ &amp; βασικές συνιστώσες σε εκατ. €, σε σταθερές τιμές 2010)</w:t>
      </w:r>
      <w:r>
        <w:rPr>
          <w:rFonts w:ascii="Trebuchet MS" w:hAnsi="Trebuchet MS"/>
          <w:b/>
          <w:color w:val="00A3E0"/>
        </w:rPr>
        <w:t xml:space="preserve"> </w:t>
      </w:r>
    </w:p>
    <w:tbl>
      <w:tblPr>
        <w:tblW w:w="9694" w:type="dxa"/>
        <w:jc w:val="center"/>
        <w:tblLook w:val="00A0" w:firstRow="1" w:lastRow="0" w:firstColumn="1" w:lastColumn="0" w:noHBand="0" w:noVBand="0"/>
      </w:tblPr>
      <w:tblGrid>
        <w:gridCol w:w="1833"/>
        <w:gridCol w:w="633"/>
        <w:gridCol w:w="916"/>
        <w:gridCol w:w="688"/>
        <w:gridCol w:w="917"/>
        <w:gridCol w:w="688"/>
        <w:gridCol w:w="917"/>
        <w:gridCol w:w="634"/>
        <w:gridCol w:w="917"/>
        <w:gridCol w:w="634"/>
        <w:gridCol w:w="917"/>
      </w:tblGrid>
      <w:tr w:rsidR="00987D04" w:rsidRPr="00A36DBC" w:rsidTr="00274BF7">
        <w:trPr>
          <w:trHeight w:val="227"/>
          <w:jc w:val="center"/>
        </w:trPr>
        <w:tc>
          <w:tcPr>
            <w:tcW w:w="1833" w:type="dxa"/>
            <w:tcBorders>
              <w:top w:val="single" w:sz="8" w:space="0" w:color="000000"/>
              <w:left w:val="single" w:sz="8" w:space="0" w:color="000000"/>
              <w:bottom w:val="single" w:sz="8" w:space="0" w:color="000000"/>
              <w:right w:val="single" w:sz="8" w:space="0" w:color="000000"/>
            </w:tcBorders>
            <w:shd w:val="clear" w:color="000000" w:fill="DDD9C4"/>
            <w:noWrap/>
            <w:vAlign w:val="bottom"/>
          </w:tcPr>
          <w:p w:rsidR="00987D04" w:rsidRPr="00582849" w:rsidRDefault="00987D04" w:rsidP="00274BF7">
            <w:pPr>
              <w:spacing w:after="0" w:line="240" w:lineRule="auto"/>
              <w:rPr>
                <w:rFonts w:ascii="Trebuchet MS" w:hAnsi="Trebuchet MS" w:cs="Calibri"/>
                <w:sz w:val="20"/>
                <w:szCs w:val="20"/>
                <w:lang w:eastAsia="el-GR"/>
              </w:rPr>
            </w:pPr>
            <w:r w:rsidRPr="00582849">
              <w:rPr>
                <w:rFonts w:ascii="Trebuchet MS" w:hAnsi="Trebuchet MS" w:cs="Calibri"/>
                <w:sz w:val="20"/>
                <w:szCs w:val="20"/>
                <w:lang w:eastAsia="el-GR"/>
              </w:rPr>
              <w:t> </w:t>
            </w:r>
          </w:p>
        </w:tc>
        <w:tc>
          <w:tcPr>
            <w:tcW w:w="633" w:type="dxa"/>
            <w:tcBorders>
              <w:top w:val="single" w:sz="8" w:space="0" w:color="000000"/>
              <w:left w:val="nil"/>
              <w:bottom w:val="single" w:sz="8" w:space="0" w:color="000000"/>
              <w:right w:val="nil"/>
            </w:tcBorders>
            <w:shd w:val="clear" w:color="000000" w:fill="DDD9C4"/>
            <w:noWrap/>
            <w:vAlign w:val="bottom"/>
          </w:tcPr>
          <w:p w:rsidR="00987D04" w:rsidRPr="00582849" w:rsidRDefault="00987D04" w:rsidP="00274BF7">
            <w:pPr>
              <w:spacing w:after="0" w:line="240" w:lineRule="auto"/>
              <w:jc w:val="center"/>
              <w:rPr>
                <w:rFonts w:ascii="Trebuchet MS" w:hAnsi="Trebuchet MS" w:cs="Calibri"/>
                <w:b/>
                <w:bCs/>
                <w:sz w:val="20"/>
                <w:szCs w:val="20"/>
                <w:lang w:eastAsia="el-GR"/>
              </w:rPr>
            </w:pPr>
            <w:r w:rsidRPr="00582849">
              <w:rPr>
                <w:rFonts w:ascii="Trebuchet MS" w:hAnsi="Trebuchet MS" w:cs="Calibri"/>
                <w:b/>
                <w:bCs/>
                <w:sz w:val="20"/>
                <w:szCs w:val="20"/>
                <w:lang w:eastAsia="el-GR"/>
              </w:rPr>
              <w:t>%Δ</w:t>
            </w:r>
            <w:r w:rsidRPr="00FC35EE">
              <w:rPr>
                <w:rFonts w:ascii="Trebuchet MS" w:hAnsi="Trebuchet MS" w:cs="Calibri"/>
                <w:b/>
                <w:bCs/>
                <w:sz w:val="20"/>
                <w:szCs w:val="20"/>
                <w:lang w:eastAsia="el-GR"/>
              </w:rPr>
              <w:t>*</w:t>
            </w:r>
          </w:p>
        </w:tc>
        <w:tc>
          <w:tcPr>
            <w:tcW w:w="916" w:type="dxa"/>
            <w:tcBorders>
              <w:top w:val="single" w:sz="8" w:space="0" w:color="000000"/>
              <w:left w:val="nil"/>
              <w:bottom w:val="single" w:sz="8" w:space="0" w:color="000000"/>
              <w:right w:val="single" w:sz="8" w:space="0" w:color="000000"/>
            </w:tcBorders>
            <w:shd w:val="clear" w:color="000000" w:fill="DDD9C4"/>
            <w:noWrap/>
            <w:vAlign w:val="bottom"/>
          </w:tcPr>
          <w:p w:rsidR="00987D04" w:rsidRPr="00582849" w:rsidRDefault="00987D04" w:rsidP="00274BF7">
            <w:pPr>
              <w:spacing w:after="0" w:line="240" w:lineRule="auto"/>
              <w:jc w:val="center"/>
              <w:rPr>
                <w:rFonts w:ascii="Trebuchet MS" w:hAnsi="Trebuchet MS" w:cs="Calibri"/>
                <w:b/>
                <w:bCs/>
                <w:sz w:val="20"/>
                <w:szCs w:val="20"/>
                <w:lang w:eastAsia="el-GR"/>
              </w:rPr>
            </w:pPr>
            <w:r w:rsidRPr="00582849">
              <w:rPr>
                <w:rFonts w:ascii="Trebuchet MS" w:hAnsi="Trebuchet MS" w:cs="Calibri"/>
                <w:b/>
                <w:bCs/>
                <w:sz w:val="20"/>
                <w:szCs w:val="20"/>
                <w:lang w:eastAsia="el-GR"/>
              </w:rPr>
              <w:t xml:space="preserve">2017 </w:t>
            </w:r>
          </w:p>
        </w:tc>
        <w:tc>
          <w:tcPr>
            <w:tcW w:w="688" w:type="dxa"/>
            <w:tcBorders>
              <w:top w:val="single" w:sz="8" w:space="0" w:color="000000"/>
              <w:left w:val="nil"/>
              <w:bottom w:val="single" w:sz="8" w:space="0" w:color="000000"/>
              <w:right w:val="nil"/>
            </w:tcBorders>
            <w:shd w:val="clear" w:color="000000" w:fill="DDD9C4"/>
            <w:noWrap/>
            <w:vAlign w:val="bottom"/>
          </w:tcPr>
          <w:p w:rsidR="00987D04" w:rsidRPr="00582849" w:rsidRDefault="00987D04" w:rsidP="00274BF7">
            <w:pPr>
              <w:spacing w:after="0" w:line="240" w:lineRule="auto"/>
              <w:jc w:val="center"/>
              <w:rPr>
                <w:rFonts w:ascii="Trebuchet MS" w:hAnsi="Trebuchet MS" w:cs="Calibri"/>
                <w:b/>
                <w:bCs/>
                <w:sz w:val="20"/>
                <w:szCs w:val="20"/>
                <w:lang w:eastAsia="el-GR"/>
              </w:rPr>
            </w:pPr>
            <w:r w:rsidRPr="00582849">
              <w:rPr>
                <w:rFonts w:ascii="Trebuchet MS" w:hAnsi="Trebuchet MS" w:cs="Calibri"/>
                <w:b/>
                <w:bCs/>
                <w:sz w:val="20"/>
                <w:szCs w:val="20"/>
                <w:lang w:eastAsia="el-GR"/>
              </w:rPr>
              <w:t>%Δ</w:t>
            </w:r>
          </w:p>
        </w:tc>
        <w:tc>
          <w:tcPr>
            <w:tcW w:w="917" w:type="dxa"/>
            <w:tcBorders>
              <w:top w:val="single" w:sz="8" w:space="0" w:color="000000"/>
              <w:left w:val="nil"/>
              <w:bottom w:val="single" w:sz="8" w:space="0" w:color="000000"/>
              <w:right w:val="single" w:sz="8" w:space="0" w:color="000000"/>
            </w:tcBorders>
            <w:shd w:val="clear" w:color="000000" w:fill="DDD9C4"/>
            <w:noWrap/>
            <w:vAlign w:val="bottom"/>
          </w:tcPr>
          <w:p w:rsidR="00987D04" w:rsidRPr="00582849" w:rsidRDefault="00987D04" w:rsidP="00274BF7">
            <w:pPr>
              <w:spacing w:after="0" w:line="240" w:lineRule="auto"/>
              <w:jc w:val="center"/>
              <w:rPr>
                <w:rFonts w:ascii="Trebuchet MS" w:hAnsi="Trebuchet MS" w:cs="Calibri"/>
                <w:b/>
                <w:bCs/>
                <w:sz w:val="20"/>
                <w:szCs w:val="20"/>
                <w:lang w:eastAsia="el-GR"/>
              </w:rPr>
            </w:pPr>
            <w:r w:rsidRPr="00582849">
              <w:rPr>
                <w:rFonts w:ascii="Trebuchet MS" w:hAnsi="Trebuchet MS" w:cs="Calibri"/>
                <w:b/>
                <w:bCs/>
                <w:sz w:val="20"/>
                <w:szCs w:val="20"/>
                <w:lang w:eastAsia="el-GR"/>
              </w:rPr>
              <w:t xml:space="preserve">2018 </w:t>
            </w:r>
          </w:p>
        </w:tc>
        <w:tc>
          <w:tcPr>
            <w:tcW w:w="688" w:type="dxa"/>
            <w:tcBorders>
              <w:top w:val="single" w:sz="8" w:space="0" w:color="000000"/>
              <w:left w:val="nil"/>
              <w:bottom w:val="single" w:sz="8" w:space="0" w:color="000000"/>
              <w:right w:val="nil"/>
            </w:tcBorders>
            <w:shd w:val="clear" w:color="000000" w:fill="DDD9C4"/>
            <w:noWrap/>
            <w:vAlign w:val="bottom"/>
          </w:tcPr>
          <w:p w:rsidR="00987D04" w:rsidRPr="00582849" w:rsidRDefault="00987D04" w:rsidP="00274BF7">
            <w:pPr>
              <w:spacing w:after="0" w:line="240" w:lineRule="auto"/>
              <w:jc w:val="center"/>
              <w:rPr>
                <w:rFonts w:ascii="Trebuchet MS" w:hAnsi="Trebuchet MS" w:cs="Calibri"/>
                <w:b/>
                <w:bCs/>
                <w:sz w:val="20"/>
                <w:szCs w:val="20"/>
                <w:lang w:eastAsia="el-GR"/>
              </w:rPr>
            </w:pPr>
            <w:r w:rsidRPr="00582849">
              <w:rPr>
                <w:rFonts w:ascii="Trebuchet MS" w:hAnsi="Trebuchet MS" w:cs="Calibri"/>
                <w:b/>
                <w:bCs/>
                <w:sz w:val="20"/>
                <w:szCs w:val="20"/>
                <w:lang w:eastAsia="el-GR"/>
              </w:rPr>
              <w:t>%Δ</w:t>
            </w:r>
          </w:p>
        </w:tc>
        <w:tc>
          <w:tcPr>
            <w:tcW w:w="917" w:type="dxa"/>
            <w:tcBorders>
              <w:top w:val="single" w:sz="8" w:space="0" w:color="000000"/>
              <w:left w:val="nil"/>
              <w:bottom w:val="single" w:sz="8" w:space="0" w:color="000000"/>
              <w:right w:val="single" w:sz="8" w:space="0" w:color="000000"/>
            </w:tcBorders>
            <w:shd w:val="clear" w:color="000000" w:fill="DDD9C4"/>
            <w:noWrap/>
            <w:vAlign w:val="bottom"/>
          </w:tcPr>
          <w:p w:rsidR="00987D04" w:rsidRPr="00582849" w:rsidRDefault="00987D04" w:rsidP="00274BF7">
            <w:pPr>
              <w:spacing w:after="0" w:line="240" w:lineRule="auto"/>
              <w:jc w:val="center"/>
              <w:rPr>
                <w:rFonts w:ascii="Trebuchet MS" w:hAnsi="Trebuchet MS" w:cs="Calibri"/>
                <w:b/>
                <w:bCs/>
                <w:sz w:val="20"/>
                <w:szCs w:val="20"/>
                <w:lang w:eastAsia="el-GR"/>
              </w:rPr>
            </w:pPr>
            <w:r w:rsidRPr="00582849">
              <w:rPr>
                <w:rFonts w:ascii="Trebuchet MS" w:hAnsi="Trebuchet MS" w:cs="Calibri"/>
                <w:b/>
                <w:bCs/>
                <w:sz w:val="20"/>
                <w:szCs w:val="20"/>
                <w:lang w:eastAsia="el-GR"/>
              </w:rPr>
              <w:t xml:space="preserve">2019 </w:t>
            </w:r>
          </w:p>
        </w:tc>
        <w:tc>
          <w:tcPr>
            <w:tcW w:w="634" w:type="dxa"/>
            <w:tcBorders>
              <w:top w:val="single" w:sz="8" w:space="0" w:color="000000"/>
              <w:left w:val="nil"/>
              <w:bottom w:val="single" w:sz="8" w:space="0" w:color="000000"/>
              <w:right w:val="nil"/>
            </w:tcBorders>
            <w:shd w:val="clear" w:color="000000" w:fill="DDD9C4"/>
            <w:noWrap/>
            <w:vAlign w:val="bottom"/>
          </w:tcPr>
          <w:p w:rsidR="00987D04" w:rsidRPr="00582849" w:rsidRDefault="00987D04" w:rsidP="00274BF7">
            <w:pPr>
              <w:spacing w:after="0" w:line="240" w:lineRule="auto"/>
              <w:jc w:val="center"/>
              <w:rPr>
                <w:rFonts w:ascii="Trebuchet MS" w:hAnsi="Trebuchet MS" w:cs="Calibri"/>
                <w:b/>
                <w:bCs/>
                <w:sz w:val="20"/>
                <w:szCs w:val="20"/>
                <w:lang w:eastAsia="el-GR"/>
              </w:rPr>
            </w:pPr>
            <w:r w:rsidRPr="00582849">
              <w:rPr>
                <w:rFonts w:ascii="Trebuchet MS" w:hAnsi="Trebuchet MS" w:cs="Calibri"/>
                <w:b/>
                <w:bCs/>
                <w:sz w:val="20"/>
                <w:szCs w:val="20"/>
                <w:lang w:eastAsia="el-GR"/>
              </w:rPr>
              <w:t>%Δ</w:t>
            </w:r>
          </w:p>
        </w:tc>
        <w:tc>
          <w:tcPr>
            <w:tcW w:w="917" w:type="dxa"/>
            <w:tcBorders>
              <w:top w:val="single" w:sz="8" w:space="0" w:color="000000"/>
              <w:left w:val="nil"/>
              <w:bottom w:val="single" w:sz="8" w:space="0" w:color="000000"/>
              <w:right w:val="single" w:sz="8" w:space="0" w:color="000000"/>
            </w:tcBorders>
            <w:shd w:val="clear" w:color="000000" w:fill="DDD9C4"/>
            <w:noWrap/>
            <w:vAlign w:val="bottom"/>
          </w:tcPr>
          <w:p w:rsidR="00987D04" w:rsidRPr="00582849" w:rsidRDefault="00987D04" w:rsidP="00274BF7">
            <w:pPr>
              <w:spacing w:after="0" w:line="240" w:lineRule="auto"/>
              <w:jc w:val="center"/>
              <w:rPr>
                <w:rFonts w:ascii="Trebuchet MS" w:hAnsi="Trebuchet MS" w:cs="Calibri"/>
                <w:b/>
                <w:bCs/>
                <w:sz w:val="20"/>
                <w:szCs w:val="20"/>
                <w:lang w:eastAsia="el-GR"/>
              </w:rPr>
            </w:pPr>
            <w:r w:rsidRPr="00582849">
              <w:rPr>
                <w:rFonts w:ascii="Trebuchet MS" w:hAnsi="Trebuchet MS" w:cs="Calibri"/>
                <w:b/>
                <w:bCs/>
                <w:sz w:val="20"/>
                <w:szCs w:val="20"/>
                <w:lang w:eastAsia="el-GR"/>
              </w:rPr>
              <w:t xml:space="preserve">2020 </w:t>
            </w:r>
          </w:p>
        </w:tc>
        <w:tc>
          <w:tcPr>
            <w:tcW w:w="634" w:type="dxa"/>
            <w:tcBorders>
              <w:top w:val="single" w:sz="8" w:space="0" w:color="000000"/>
              <w:left w:val="nil"/>
              <w:bottom w:val="single" w:sz="8" w:space="0" w:color="000000"/>
              <w:right w:val="nil"/>
            </w:tcBorders>
            <w:shd w:val="clear" w:color="000000" w:fill="DDD9C4"/>
            <w:noWrap/>
            <w:vAlign w:val="bottom"/>
          </w:tcPr>
          <w:p w:rsidR="00987D04" w:rsidRPr="00582849" w:rsidRDefault="00987D04" w:rsidP="00274BF7">
            <w:pPr>
              <w:spacing w:after="0" w:line="240" w:lineRule="auto"/>
              <w:jc w:val="center"/>
              <w:rPr>
                <w:rFonts w:ascii="Trebuchet MS" w:hAnsi="Trebuchet MS" w:cs="Calibri"/>
                <w:b/>
                <w:bCs/>
                <w:sz w:val="20"/>
                <w:szCs w:val="20"/>
                <w:lang w:eastAsia="el-GR"/>
              </w:rPr>
            </w:pPr>
            <w:r w:rsidRPr="00582849">
              <w:rPr>
                <w:rFonts w:ascii="Trebuchet MS" w:hAnsi="Trebuchet MS" w:cs="Calibri"/>
                <w:b/>
                <w:bCs/>
                <w:sz w:val="20"/>
                <w:szCs w:val="20"/>
                <w:lang w:eastAsia="el-GR"/>
              </w:rPr>
              <w:t>%Δ</w:t>
            </w:r>
          </w:p>
        </w:tc>
        <w:tc>
          <w:tcPr>
            <w:tcW w:w="917" w:type="dxa"/>
            <w:tcBorders>
              <w:top w:val="single" w:sz="8" w:space="0" w:color="000000"/>
              <w:left w:val="nil"/>
              <w:bottom w:val="single" w:sz="8" w:space="0" w:color="000000"/>
              <w:right w:val="single" w:sz="8" w:space="0" w:color="000000"/>
            </w:tcBorders>
            <w:shd w:val="clear" w:color="000000" w:fill="DDD9C4"/>
            <w:noWrap/>
            <w:vAlign w:val="bottom"/>
          </w:tcPr>
          <w:p w:rsidR="00987D04" w:rsidRPr="00582849" w:rsidRDefault="00987D04" w:rsidP="00274BF7">
            <w:pPr>
              <w:spacing w:after="0" w:line="240" w:lineRule="auto"/>
              <w:jc w:val="center"/>
              <w:rPr>
                <w:rFonts w:ascii="Trebuchet MS" w:hAnsi="Trebuchet MS" w:cs="Calibri"/>
                <w:b/>
                <w:bCs/>
                <w:sz w:val="20"/>
                <w:szCs w:val="20"/>
                <w:lang w:eastAsia="el-GR"/>
              </w:rPr>
            </w:pPr>
            <w:r w:rsidRPr="00582849">
              <w:rPr>
                <w:rFonts w:ascii="Trebuchet MS" w:hAnsi="Trebuchet MS" w:cs="Calibri"/>
                <w:b/>
                <w:bCs/>
                <w:sz w:val="20"/>
                <w:szCs w:val="20"/>
                <w:lang w:eastAsia="el-GR"/>
              </w:rPr>
              <w:t xml:space="preserve">2021 </w:t>
            </w:r>
          </w:p>
        </w:tc>
      </w:tr>
      <w:tr w:rsidR="00987D04" w:rsidRPr="00A36DBC" w:rsidTr="00274BF7">
        <w:trPr>
          <w:trHeight w:val="370"/>
          <w:jc w:val="center"/>
        </w:trPr>
        <w:tc>
          <w:tcPr>
            <w:tcW w:w="1833" w:type="dxa"/>
            <w:tcBorders>
              <w:top w:val="nil"/>
              <w:left w:val="single" w:sz="8" w:space="0" w:color="000000"/>
              <w:bottom w:val="nil"/>
              <w:right w:val="single" w:sz="8" w:space="0" w:color="000000"/>
            </w:tcBorders>
            <w:shd w:val="clear" w:color="000000" w:fill="EEECE1"/>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Ιδιωτική κατανάλωση</w:t>
            </w:r>
          </w:p>
        </w:tc>
        <w:tc>
          <w:tcPr>
            <w:tcW w:w="633"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1,3%</w:t>
            </w:r>
          </w:p>
        </w:tc>
        <w:tc>
          <w:tcPr>
            <w:tcW w:w="916"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130.648</w:t>
            </w:r>
          </w:p>
        </w:tc>
        <w:tc>
          <w:tcPr>
            <w:tcW w:w="688"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1,4%</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132.412</w:t>
            </w:r>
          </w:p>
        </w:tc>
        <w:tc>
          <w:tcPr>
            <w:tcW w:w="688"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1,3%</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134.067</w:t>
            </w:r>
          </w:p>
        </w:tc>
        <w:tc>
          <w:tcPr>
            <w:tcW w:w="634"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1,2%</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135.676</w:t>
            </w:r>
          </w:p>
        </w:tc>
        <w:tc>
          <w:tcPr>
            <w:tcW w:w="634"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1,2%</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137.372</w:t>
            </w:r>
          </w:p>
        </w:tc>
      </w:tr>
      <w:tr w:rsidR="00987D04" w:rsidRPr="00A36DBC" w:rsidTr="00274BF7">
        <w:trPr>
          <w:trHeight w:val="370"/>
          <w:jc w:val="center"/>
        </w:trPr>
        <w:tc>
          <w:tcPr>
            <w:tcW w:w="1833" w:type="dxa"/>
            <w:tcBorders>
              <w:top w:val="nil"/>
              <w:left w:val="single" w:sz="8" w:space="0" w:color="000000"/>
              <w:bottom w:val="nil"/>
              <w:right w:val="single" w:sz="8" w:space="0" w:color="000000"/>
            </w:tcBorders>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Δημόσια κατανάλωση</w:t>
            </w:r>
          </w:p>
        </w:tc>
        <w:tc>
          <w:tcPr>
            <w:tcW w:w="633" w:type="dxa"/>
            <w:tcBorders>
              <w:top w:val="nil"/>
              <w:left w:val="nil"/>
              <w:bottom w:val="nil"/>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0,1%</w:t>
            </w:r>
          </w:p>
        </w:tc>
        <w:tc>
          <w:tcPr>
            <w:tcW w:w="916" w:type="dxa"/>
            <w:tcBorders>
              <w:top w:val="nil"/>
              <w:left w:val="nil"/>
              <w:bottom w:val="nil"/>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39.678</w:t>
            </w:r>
          </w:p>
        </w:tc>
        <w:tc>
          <w:tcPr>
            <w:tcW w:w="688" w:type="dxa"/>
            <w:tcBorders>
              <w:top w:val="nil"/>
              <w:left w:val="nil"/>
              <w:bottom w:val="nil"/>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0,1%</w:t>
            </w:r>
          </w:p>
        </w:tc>
        <w:tc>
          <w:tcPr>
            <w:tcW w:w="917" w:type="dxa"/>
            <w:tcBorders>
              <w:top w:val="nil"/>
              <w:left w:val="nil"/>
              <w:bottom w:val="nil"/>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39.697</w:t>
            </w:r>
          </w:p>
        </w:tc>
        <w:tc>
          <w:tcPr>
            <w:tcW w:w="688" w:type="dxa"/>
            <w:tcBorders>
              <w:top w:val="nil"/>
              <w:left w:val="nil"/>
              <w:bottom w:val="nil"/>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0,5%</w:t>
            </w:r>
          </w:p>
        </w:tc>
        <w:tc>
          <w:tcPr>
            <w:tcW w:w="917" w:type="dxa"/>
            <w:tcBorders>
              <w:top w:val="nil"/>
              <w:left w:val="nil"/>
              <w:bottom w:val="nil"/>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39.876</w:t>
            </w:r>
          </w:p>
        </w:tc>
        <w:tc>
          <w:tcPr>
            <w:tcW w:w="634" w:type="dxa"/>
            <w:tcBorders>
              <w:top w:val="nil"/>
              <w:left w:val="nil"/>
              <w:bottom w:val="nil"/>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0,5%</w:t>
            </w:r>
          </w:p>
        </w:tc>
        <w:tc>
          <w:tcPr>
            <w:tcW w:w="917" w:type="dxa"/>
            <w:tcBorders>
              <w:top w:val="nil"/>
              <w:left w:val="nil"/>
              <w:bottom w:val="nil"/>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40.075</w:t>
            </w:r>
          </w:p>
        </w:tc>
        <w:tc>
          <w:tcPr>
            <w:tcW w:w="634" w:type="dxa"/>
            <w:tcBorders>
              <w:top w:val="nil"/>
              <w:left w:val="nil"/>
              <w:bottom w:val="nil"/>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0,4%</w:t>
            </w:r>
          </w:p>
        </w:tc>
        <w:tc>
          <w:tcPr>
            <w:tcW w:w="917" w:type="dxa"/>
            <w:tcBorders>
              <w:top w:val="nil"/>
              <w:left w:val="nil"/>
              <w:bottom w:val="nil"/>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40.256</w:t>
            </w:r>
          </w:p>
        </w:tc>
      </w:tr>
      <w:tr w:rsidR="00987D04" w:rsidRPr="00A36DBC" w:rsidTr="00274BF7">
        <w:trPr>
          <w:trHeight w:val="388"/>
          <w:jc w:val="center"/>
        </w:trPr>
        <w:tc>
          <w:tcPr>
            <w:tcW w:w="1833" w:type="dxa"/>
            <w:tcBorders>
              <w:top w:val="nil"/>
              <w:left w:val="single" w:sz="8" w:space="0" w:color="000000"/>
              <w:bottom w:val="nil"/>
              <w:right w:val="single" w:sz="8" w:space="0" w:color="000000"/>
            </w:tcBorders>
            <w:shd w:val="clear" w:color="000000" w:fill="EEECE1"/>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Ακ. Σχηματισμός Παγίου Κεφαλαίου</w:t>
            </w:r>
          </w:p>
        </w:tc>
        <w:tc>
          <w:tcPr>
            <w:tcW w:w="633"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5,9%</w:t>
            </w:r>
          </w:p>
        </w:tc>
        <w:tc>
          <w:tcPr>
            <w:tcW w:w="916"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22.314</w:t>
            </w:r>
          </w:p>
        </w:tc>
        <w:tc>
          <w:tcPr>
            <w:tcW w:w="688"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10,8%</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24.716</w:t>
            </w:r>
          </w:p>
        </w:tc>
        <w:tc>
          <w:tcPr>
            <w:tcW w:w="688"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12,1%</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27.695</w:t>
            </w:r>
          </w:p>
        </w:tc>
        <w:tc>
          <w:tcPr>
            <w:tcW w:w="634"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9,6%</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30.348</w:t>
            </w:r>
          </w:p>
        </w:tc>
        <w:tc>
          <w:tcPr>
            <w:tcW w:w="634"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7,7%</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32.699</w:t>
            </w:r>
          </w:p>
        </w:tc>
      </w:tr>
      <w:tr w:rsidR="00987D04" w:rsidRPr="00A36DBC" w:rsidTr="00274BF7">
        <w:trPr>
          <w:trHeight w:val="370"/>
          <w:jc w:val="center"/>
        </w:trPr>
        <w:tc>
          <w:tcPr>
            <w:tcW w:w="1833" w:type="dxa"/>
            <w:tcBorders>
              <w:top w:val="nil"/>
              <w:left w:val="single" w:sz="8" w:space="0" w:color="000000"/>
              <w:bottom w:val="nil"/>
              <w:right w:val="single" w:sz="8" w:space="0" w:color="000000"/>
            </w:tcBorders>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Εξαγωγές αγαθών και υπηρεσιών</w:t>
            </w:r>
          </w:p>
        </w:tc>
        <w:tc>
          <w:tcPr>
            <w:tcW w:w="633" w:type="dxa"/>
            <w:tcBorders>
              <w:top w:val="nil"/>
              <w:left w:val="nil"/>
              <w:bottom w:val="nil"/>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3,3%</w:t>
            </w:r>
          </w:p>
        </w:tc>
        <w:tc>
          <w:tcPr>
            <w:tcW w:w="916" w:type="dxa"/>
            <w:tcBorders>
              <w:top w:val="nil"/>
              <w:left w:val="nil"/>
              <w:bottom w:val="nil"/>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57.913</w:t>
            </w:r>
          </w:p>
        </w:tc>
        <w:tc>
          <w:tcPr>
            <w:tcW w:w="688" w:type="dxa"/>
            <w:tcBorders>
              <w:top w:val="nil"/>
              <w:left w:val="nil"/>
              <w:bottom w:val="nil"/>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4,0%</w:t>
            </w:r>
          </w:p>
        </w:tc>
        <w:tc>
          <w:tcPr>
            <w:tcW w:w="917" w:type="dxa"/>
            <w:tcBorders>
              <w:top w:val="nil"/>
              <w:left w:val="nil"/>
              <w:bottom w:val="nil"/>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60.252</w:t>
            </w:r>
          </w:p>
        </w:tc>
        <w:tc>
          <w:tcPr>
            <w:tcW w:w="688" w:type="dxa"/>
            <w:tcBorders>
              <w:top w:val="nil"/>
              <w:left w:val="nil"/>
              <w:bottom w:val="nil"/>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4,4%</w:t>
            </w:r>
          </w:p>
        </w:tc>
        <w:tc>
          <w:tcPr>
            <w:tcW w:w="917" w:type="dxa"/>
            <w:tcBorders>
              <w:top w:val="nil"/>
              <w:left w:val="nil"/>
              <w:bottom w:val="nil"/>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62.934</w:t>
            </w:r>
          </w:p>
        </w:tc>
        <w:tc>
          <w:tcPr>
            <w:tcW w:w="634" w:type="dxa"/>
            <w:tcBorders>
              <w:top w:val="nil"/>
              <w:left w:val="nil"/>
              <w:bottom w:val="nil"/>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3,2%</w:t>
            </w:r>
          </w:p>
        </w:tc>
        <w:tc>
          <w:tcPr>
            <w:tcW w:w="917" w:type="dxa"/>
            <w:tcBorders>
              <w:top w:val="nil"/>
              <w:left w:val="nil"/>
              <w:bottom w:val="nil"/>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64.999</w:t>
            </w:r>
          </w:p>
        </w:tc>
        <w:tc>
          <w:tcPr>
            <w:tcW w:w="634" w:type="dxa"/>
            <w:tcBorders>
              <w:top w:val="nil"/>
              <w:left w:val="nil"/>
              <w:bottom w:val="nil"/>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3,0%</w:t>
            </w:r>
          </w:p>
        </w:tc>
        <w:tc>
          <w:tcPr>
            <w:tcW w:w="917" w:type="dxa"/>
            <w:tcBorders>
              <w:top w:val="nil"/>
              <w:left w:val="nil"/>
              <w:bottom w:val="nil"/>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66.938</w:t>
            </w:r>
          </w:p>
        </w:tc>
      </w:tr>
      <w:tr w:rsidR="00987D04" w:rsidRPr="00A36DBC" w:rsidTr="00274BF7">
        <w:trPr>
          <w:trHeight w:val="388"/>
          <w:jc w:val="center"/>
        </w:trPr>
        <w:tc>
          <w:tcPr>
            <w:tcW w:w="1833" w:type="dxa"/>
            <w:tcBorders>
              <w:top w:val="nil"/>
              <w:left w:val="single" w:sz="8" w:space="0" w:color="000000"/>
              <w:bottom w:val="nil"/>
              <w:right w:val="single" w:sz="8" w:space="0" w:color="000000"/>
            </w:tcBorders>
            <w:shd w:val="clear" w:color="000000" w:fill="EEECE1"/>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Εισαγωγές αγαθών και υπηρεσιών</w:t>
            </w:r>
          </w:p>
        </w:tc>
        <w:tc>
          <w:tcPr>
            <w:tcW w:w="633"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2,8%</w:t>
            </w:r>
          </w:p>
        </w:tc>
        <w:tc>
          <w:tcPr>
            <w:tcW w:w="916"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61.606</w:t>
            </w:r>
          </w:p>
        </w:tc>
        <w:tc>
          <w:tcPr>
            <w:tcW w:w="688"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3,5%</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63.759</w:t>
            </w:r>
          </w:p>
        </w:tc>
        <w:tc>
          <w:tcPr>
            <w:tcW w:w="688"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4,3%</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66.466</w:t>
            </w:r>
          </w:p>
        </w:tc>
        <w:tc>
          <w:tcPr>
            <w:tcW w:w="634"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3,1%</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68.535</w:t>
            </w:r>
          </w:p>
        </w:tc>
        <w:tc>
          <w:tcPr>
            <w:tcW w:w="634" w:type="dxa"/>
            <w:tcBorders>
              <w:top w:val="nil"/>
              <w:left w:val="nil"/>
              <w:bottom w:val="nil"/>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2,9%</w:t>
            </w:r>
          </w:p>
        </w:tc>
        <w:tc>
          <w:tcPr>
            <w:tcW w:w="917" w:type="dxa"/>
            <w:tcBorders>
              <w:top w:val="nil"/>
              <w:left w:val="nil"/>
              <w:bottom w:val="nil"/>
              <w:right w:val="single" w:sz="8" w:space="0" w:color="000000"/>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70.485</w:t>
            </w:r>
          </w:p>
        </w:tc>
      </w:tr>
      <w:tr w:rsidR="00987D04" w:rsidRPr="00A36DBC" w:rsidTr="00274BF7">
        <w:trPr>
          <w:trHeight w:val="388"/>
          <w:jc w:val="center"/>
        </w:trPr>
        <w:tc>
          <w:tcPr>
            <w:tcW w:w="1833" w:type="dxa"/>
            <w:tcBorders>
              <w:top w:val="single" w:sz="8" w:space="0" w:color="000000"/>
              <w:left w:val="single" w:sz="8" w:space="0" w:color="000000"/>
              <w:bottom w:val="single" w:sz="8" w:space="0" w:color="000000"/>
              <w:right w:val="single" w:sz="8" w:space="0" w:color="000000"/>
            </w:tcBorders>
            <w:noWrap/>
            <w:vAlign w:val="bottom"/>
          </w:tcPr>
          <w:p w:rsidR="00987D04" w:rsidRPr="00582849" w:rsidRDefault="00987D04" w:rsidP="00274BF7">
            <w:pPr>
              <w:spacing w:after="0" w:line="240" w:lineRule="auto"/>
              <w:rPr>
                <w:rFonts w:ascii="Trebuchet MS" w:hAnsi="Trebuchet MS" w:cs="Calibri"/>
                <w:b/>
                <w:bCs/>
                <w:sz w:val="18"/>
                <w:szCs w:val="18"/>
                <w:lang w:eastAsia="el-GR"/>
              </w:rPr>
            </w:pPr>
            <w:r w:rsidRPr="00582849">
              <w:rPr>
                <w:rFonts w:ascii="Trebuchet MS" w:hAnsi="Trebuchet MS" w:cs="Calibri"/>
                <w:b/>
                <w:bCs/>
                <w:sz w:val="18"/>
                <w:szCs w:val="18"/>
                <w:lang w:eastAsia="el-GR"/>
              </w:rPr>
              <w:t>Ακαθάριστο Εγχώριο Προιόν</w:t>
            </w:r>
          </w:p>
        </w:tc>
        <w:tc>
          <w:tcPr>
            <w:tcW w:w="633" w:type="dxa"/>
            <w:tcBorders>
              <w:top w:val="single" w:sz="8" w:space="0" w:color="000000"/>
              <w:left w:val="nil"/>
              <w:bottom w:val="single" w:sz="8" w:space="0" w:color="000000"/>
              <w:right w:val="nil"/>
            </w:tcBorders>
            <w:noWrap/>
            <w:vAlign w:val="bottom"/>
          </w:tcPr>
          <w:p w:rsidR="00987D04" w:rsidRPr="00582849" w:rsidRDefault="00987D04" w:rsidP="00274BF7">
            <w:pPr>
              <w:spacing w:after="0" w:line="240" w:lineRule="auto"/>
              <w:jc w:val="center"/>
              <w:rPr>
                <w:rFonts w:ascii="Trebuchet MS" w:hAnsi="Trebuchet MS" w:cs="Calibri"/>
                <w:b/>
                <w:bCs/>
                <w:sz w:val="18"/>
                <w:szCs w:val="18"/>
                <w:lang w:eastAsia="el-GR"/>
              </w:rPr>
            </w:pPr>
            <w:r w:rsidRPr="00582849">
              <w:rPr>
                <w:rFonts w:ascii="Trebuchet MS" w:hAnsi="Trebuchet MS" w:cs="Calibri"/>
                <w:b/>
                <w:bCs/>
                <w:sz w:val="18"/>
                <w:szCs w:val="18"/>
                <w:lang w:eastAsia="el-GR"/>
              </w:rPr>
              <w:t>1,8%</w:t>
            </w:r>
          </w:p>
        </w:tc>
        <w:tc>
          <w:tcPr>
            <w:tcW w:w="916" w:type="dxa"/>
            <w:tcBorders>
              <w:top w:val="single" w:sz="8" w:space="0" w:color="000000"/>
              <w:left w:val="nil"/>
              <w:bottom w:val="single" w:sz="8" w:space="0" w:color="000000"/>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b/>
                <w:bCs/>
                <w:sz w:val="18"/>
                <w:szCs w:val="18"/>
                <w:lang w:eastAsia="el-GR"/>
              </w:rPr>
            </w:pPr>
            <w:r w:rsidRPr="00582849">
              <w:rPr>
                <w:rFonts w:ascii="Trebuchet MS" w:hAnsi="Trebuchet MS" w:cs="Calibri"/>
                <w:b/>
                <w:bCs/>
                <w:sz w:val="18"/>
                <w:szCs w:val="18"/>
                <w:lang w:eastAsia="el-GR"/>
              </w:rPr>
              <w:t>187.811</w:t>
            </w:r>
          </w:p>
        </w:tc>
        <w:tc>
          <w:tcPr>
            <w:tcW w:w="688" w:type="dxa"/>
            <w:tcBorders>
              <w:top w:val="single" w:sz="8" w:space="0" w:color="000000"/>
              <w:left w:val="nil"/>
              <w:bottom w:val="single" w:sz="8" w:space="0" w:color="000000"/>
              <w:right w:val="nil"/>
            </w:tcBorders>
            <w:noWrap/>
            <w:vAlign w:val="bottom"/>
          </w:tcPr>
          <w:p w:rsidR="00987D04" w:rsidRPr="00582849" w:rsidRDefault="00987D04" w:rsidP="00274BF7">
            <w:pPr>
              <w:spacing w:after="0" w:line="240" w:lineRule="auto"/>
              <w:jc w:val="center"/>
              <w:rPr>
                <w:rFonts w:ascii="Trebuchet MS" w:hAnsi="Trebuchet MS" w:cs="Calibri"/>
                <w:b/>
                <w:bCs/>
                <w:sz w:val="18"/>
                <w:szCs w:val="18"/>
                <w:lang w:eastAsia="el-GR"/>
              </w:rPr>
            </w:pPr>
            <w:r w:rsidRPr="00582849">
              <w:rPr>
                <w:rFonts w:ascii="Trebuchet MS" w:hAnsi="Trebuchet MS" w:cs="Calibri"/>
                <w:b/>
                <w:bCs/>
                <w:sz w:val="18"/>
                <w:szCs w:val="18"/>
                <w:lang w:eastAsia="el-GR"/>
              </w:rPr>
              <w:t>2,4%</w:t>
            </w:r>
          </w:p>
        </w:tc>
        <w:tc>
          <w:tcPr>
            <w:tcW w:w="917" w:type="dxa"/>
            <w:tcBorders>
              <w:top w:val="single" w:sz="8" w:space="0" w:color="000000"/>
              <w:left w:val="nil"/>
              <w:bottom w:val="single" w:sz="8" w:space="0" w:color="000000"/>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b/>
                <w:bCs/>
                <w:sz w:val="18"/>
                <w:szCs w:val="18"/>
                <w:lang w:eastAsia="el-GR"/>
              </w:rPr>
            </w:pPr>
            <w:r w:rsidRPr="00582849">
              <w:rPr>
                <w:rFonts w:ascii="Trebuchet MS" w:hAnsi="Trebuchet MS" w:cs="Calibri"/>
                <w:b/>
                <w:bCs/>
                <w:sz w:val="18"/>
                <w:szCs w:val="18"/>
                <w:lang w:eastAsia="el-GR"/>
              </w:rPr>
              <w:t>192.299</w:t>
            </w:r>
          </w:p>
        </w:tc>
        <w:tc>
          <w:tcPr>
            <w:tcW w:w="688" w:type="dxa"/>
            <w:tcBorders>
              <w:top w:val="single" w:sz="8" w:space="0" w:color="000000"/>
              <w:left w:val="nil"/>
              <w:bottom w:val="single" w:sz="8" w:space="0" w:color="000000"/>
              <w:right w:val="nil"/>
            </w:tcBorders>
            <w:noWrap/>
            <w:vAlign w:val="bottom"/>
          </w:tcPr>
          <w:p w:rsidR="00987D04" w:rsidRPr="00582849" w:rsidRDefault="00987D04" w:rsidP="00274BF7">
            <w:pPr>
              <w:spacing w:after="0" w:line="240" w:lineRule="auto"/>
              <w:jc w:val="center"/>
              <w:rPr>
                <w:rFonts w:ascii="Trebuchet MS" w:hAnsi="Trebuchet MS" w:cs="Calibri"/>
                <w:b/>
                <w:bCs/>
                <w:sz w:val="18"/>
                <w:szCs w:val="18"/>
                <w:lang w:eastAsia="el-GR"/>
              </w:rPr>
            </w:pPr>
            <w:r w:rsidRPr="00582849">
              <w:rPr>
                <w:rFonts w:ascii="Trebuchet MS" w:hAnsi="Trebuchet MS" w:cs="Calibri"/>
                <w:b/>
                <w:bCs/>
                <w:sz w:val="18"/>
                <w:szCs w:val="18"/>
                <w:lang w:eastAsia="el-GR"/>
              </w:rPr>
              <w:t>2,6%</w:t>
            </w:r>
          </w:p>
        </w:tc>
        <w:tc>
          <w:tcPr>
            <w:tcW w:w="917" w:type="dxa"/>
            <w:tcBorders>
              <w:top w:val="single" w:sz="8" w:space="0" w:color="000000"/>
              <w:left w:val="nil"/>
              <w:bottom w:val="single" w:sz="8" w:space="0" w:color="000000"/>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b/>
                <w:bCs/>
                <w:sz w:val="18"/>
                <w:szCs w:val="18"/>
                <w:lang w:eastAsia="el-GR"/>
              </w:rPr>
            </w:pPr>
            <w:r w:rsidRPr="00582849">
              <w:rPr>
                <w:rFonts w:ascii="Trebuchet MS" w:hAnsi="Trebuchet MS" w:cs="Calibri"/>
                <w:b/>
                <w:bCs/>
                <w:sz w:val="18"/>
                <w:szCs w:val="18"/>
                <w:lang w:eastAsia="el-GR"/>
              </w:rPr>
              <w:t>197.270</w:t>
            </w:r>
          </w:p>
        </w:tc>
        <w:tc>
          <w:tcPr>
            <w:tcW w:w="634" w:type="dxa"/>
            <w:tcBorders>
              <w:top w:val="single" w:sz="8" w:space="0" w:color="000000"/>
              <w:left w:val="nil"/>
              <w:bottom w:val="single" w:sz="8" w:space="0" w:color="000000"/>
              <w:right w:val="nil"/>
            </w:tcBorders>
            <w:noWrap/>
            <w:vAlign w:val="bottom"/>
          </w:tcPr>
          <w:p w:rsidR="00987D04" w:rsidRPr="00582849" w:rsidRDefault="00987D04" w:rsidP="00274BF7">
            <w:pPr>
              <w:spacing w:after="0" w:line="240" w:lineRule="auto"/>
              <w:jc w:val="center"/>
              <w:rPr>
                <w:rFonts w:ascii="Trebuchet MS" w:hAnsi="Trebuchet MS" w:cs="Calibri"/>
                <w:b/>
                <w:bCs/>
                <w:sz w:val="18"/>
                <w:szCs w:val="18"/>
                <w:lang w:eastAsia="el-GR"/>
              </w:rPr>
            </w:pPr>
            <w:r w:rsidRPr="00582849">
              <w:rPr>
                <w:rFonts w:ascii="Trebuchet MS" w:hAnsi="Trebuchet MS" w:cs="Calibri"/>
                <w:b/>
                <w:bCs/>
                <w:sz w:val="18"/>
                <w:szCs w:val="18"/>
                <w:lang w:eastAsia="el-GR"/>
              </w:rPr>
              <w:t>2,3%</w:t>
            </w:r>
          </w:p>
        </w:tc>
        <w:tc>
          <w:tcPr>
            <w:tcW w:w="917" w:type="dxa"/>
            <w:tcBorders>
              <w:top w:val="single" w:sz="8" w:space="0" w:color="000000"/>
              <w:left w:val="nil"/>
              <w:bottom w:val="single" w:sz="8" w:space="0" w:color="000000"/>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b/>
                <w:bCs/>
                <w:sz w:val="18"/>
                <w:szCs w:val="18"/>
                <w:lang w:eastAsia="el-GR"/>
              </w:rPr>
            </w:pPr>
            <w:r w:rsidRPr="00582849">
              <w:rPr>
                <w:rFonts w:ascii="Trebuchet MS" w:hAnsi="Trebuchet MS" w:cs="Calibri"/>
                <w:b/>
                <w:bCs/>
                <w:sz w:val="18"/>
                <w:szCs w:val="18"/>
                <w:lang w:eastAsia="el-GR"/>
              </w:rPr>
              <w:t>201.884</w:t>
            </w:r>
          </w:p>
        </w:tc>
        <w:tc>
          <w:tcPr>
            <w:tcW w:w="634" w:type="dxa"/>
            <w:tcBorders>
              <w:top w:val="single" w:sz="8" w:space="0" w:color="000000"/>
              <w:left w:val="nil"/>
              <w:bottom w:val="single" w:sz="8" w:space="0" w:color="000000"/>
              <w:right w:val="nil"/>
            </w:tcBorders>
            <w:noWrap/>
            <w:vAlign w:val="bottom"/>
          </w:tcPr>
          <w:p w:rsidR="00987D04" w:rsidRPr="00582849" w:rsidRDefault="00987D04" w:rsidP="00274BF7">
            <w:pPr>
              <w:spacing w:after="0" w:line="240" w:lineRule="auto"/>
              <w:jc w:val="center"/>
              <w:rPr>
                <w:rFonts w:ascii="Trebuchet MS" w:hAnsi="Trebuchet MS" w:cs="Calibri"/>
                <w:b/>
                <w:bCs/>
                <w:sz w:val="18"/>
                <w:szCs w:val="18"/>
                <w:lang w:eastAsia="el-GR"/>
              </w:rPr>
            </w:pPr>
            <w:r w:rsidRPr="00582849">
              <w:rPr>
                <w:rFonts w:ascii="Trebuchet MS" w:hAnsi="Trebuchet MS" w:cs="Calibri"/>
                <w:b/>
                <w:bCs/>
                <w:sz w:val="18"/>
                <w:szCs w:val="18"/>
                <w:lang w:eastAsia="el-GR"/>
              </w:rPr>
              <w:t>2,2%</w:t>
            </w:r>
          </w:p>
        </w:tc>
        <w:tc>
          <w:tcPr>
            <w:tcW w:w="917" w:type="dxa"/>
            <w:tcBorders>
              <w:top w:val="single" w:sz="8" w:space="0" w:color="000000"/>
              <w:left w:val="nil"/>
              <w:bottom w:val="single" w:sz="8" w:space="0" w:color="000000"/>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b/>
                <w:bCs/>
                <w:sz w:val="18"/>
                <w:szCs w:val="18"/>
                <w:lang w:eastAsia="el-GR"/>
              </w:rPr>
            </w:pPr>
            <w:r w:rsidRPr="00582849">
              <w:rPr>
                <w:rFonts w:ascii="Trebuchet MS" w:hAnsi="Trebuchet MS" w:cs="Calibri"/>
                <w:b/>
                <w:bCs/>
                <w:sz w:val="18"/>
                <w:szCs w:val="18"/>
                <w:lang w:eastAsia="el-GR"/>
              </w:rPr>
              <w:t>206.259</w:t>
            </w:r>
          </w:p>
        </w:tc>
      </w:tr>
      <w:tr w:rsidR="00987D04" w:rsidRPr="00A36DBC" w:rsidTr="00274BF7">
        <w:trPr>
          <w:trHeight w:val="253"/>
          <w:jc w:val="center"/>
        </w:trPr>
        <w:tc>
          <w:tcPr>
            <w:tcW w:w="1833" w:type="dxa"/>
            <w:tcBorders>
              <w:top w:val="nil"/>
              <w:left w:val="single" w:sz="8" w:space="0" w:color="000000"/>
              <w:bottom w:val="nil"/>
              <w:right w:val="single" w:sz="8" w:space="0" w:color="000000"/>
            </w:tcBorders>
            <w:shd w:val="clear" w:color="000000" w:fill="EEECE1"/>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ΕνΔΤΚ</w:t>
            </w:r>
          </w:p>
        </w:tc>
        <w:tc>
          <w:tcPr>
            <w:tcW w:w="633" w:type="dxa"/>
            <w:tcBorders>
              <w:top w:val="nil"/>
              <w:left w:val="nil"/>
              <w:bottom w:val="single" w:sz="8" w:space="0" w:color="000000"/>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1,2%</w:t>
            </w:r>
          </w:p>
        </w:tc>
        <w:tc>
          <w:tcPr>
            <w:tcW w:w="916" w:type="dxa"/>
            <w:tcBorders>
              <w:top w:val="nil"/>
              <w:left w:val="nil"/>
              <w:bottom w:val="single" w:sz="8" w:space="0" w:color="000000"/>
              <w:right w:val="single" w:sz="8" w:space="0" w:color="000000"/>
            </w:tcBorders>
            <w:shd w:val="clear" w:color="000000" w:fill="EEECE1"/>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 </w:t>
            </w:r>
          </w:p>
        </w:tc>
        <w:tc>
          <w:tcPr>
            <w:tcW w:w="688" w:type="dxa"/>
            <w:tcBorders>
              <w:top w:val="nil"/>
              <w:left w:val="nil"/>
              <w:bottom w:val="single" w:sz="8" w:space="0" w:color="000000"/>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1,1%</w:t>
            </w:r>
          </w:p>
        </w:tc>
        <w:tc>
          <w:tcPr>
            <w:tcW w:w="917" w:type="dxa"/>
            <w:tcBorders>
              <w:top w:val="nil"/>
              <w:left w:val="nil"/>
              <w:bottom w:val="single" w:sz="8" w:space="0" w:color="000000"/>
              <w:right w:val="single" w:sz="8" w:space="0" w:color="000000"/>
            </w:tcBorders>
            <w:shd w:val="clear" w:color="000000" w:fill="EEECE1"/>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 </w:t>
            </w:r>
          </w:p>
        </w:tc>
        <w:tc>
          <w:tcPr>
            <w:tcW w:w="688" w:type="dxa"/>
            <w:tcBorders>
              <w:top w:val="nil"/>
              <w:left w:val="nil"/>
              <w:bottom w:val="single" w:sz="8" w:space="0" w:color="000000"/>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1,3%</w:t>
            </w:r>
          </w:p>
        </w:tc>
        <w:tc>
          <w:tcPr>
            <w:tcW w:w="917" w:type="dxa"/>
            <w:tcBorders>
              <w:top w:val="nil"/>
              <w:left w:val="nil"/>
              <w:bottom w:val="single" w:sz="8" w:space="0" w:color="000000"/>
              <w:right w:val="single" w:sz="8" w:space="0" w:color="000000"/>
            </w:tcBorders>
            <w:shd w:val="clear" w:color="000000" w:fill="EEECE1"/>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 </w:t>
            </w:r>
          </w:p>
        </w:tc>
        <w:tc>
          <w:tcPr>
            <w:tcW w:w="634" w:type="dxa"/>
            <w:tcBorders>
              <w:top w:val="nil"/>
              <w:left w:val="nil"/>
              <w:bottom w:val="single" w:sz="8" w:space="0" w:color="000000"/>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1,6%</w:t>
            </w:r>
          </w:p>
        </w:tc>
        <w:tc>
          <w:tcPr>
            <w:tcW w:w="917" w:type="dxa"/>
            <w:tcBorders>
              <w:top w:val="nil"/>
              <w:left w:val="nil"/>
              <w:bottom w:val="single" w:sz="8" w:space="0" w:color="000000"/>
              <w:right w:val="single" w:sz="8" w:space="0" w:color="000000"/>
            </w:tcBorders>
            <w:shd w:val="clear" w:color="000000" w:fill="EEECE1"/>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 </w:t>
            </w:r>
          </w:p>
        </w:tc>
        <w:tc>
          <w:tcPr>
            <w:tcW w:w="634" w:type="dxa"/>
            <w:tcBorders>
              <w:top w:val="nil"/>
              <w:left w:val="nil"/>
              <w:bottom w:val="single" w:sz="8" w:space="0" w:color="000000"/>
              <w:right w:val="nil"/>
            </w:tcBorders>
            <w:shd w:val="clear" w:color="000000" w:fill="EEECE1"/>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1,8%</w:t>
            </w:r>
          </w:p>
        </w:tc>
        <w:tc>
          <w:tcPr>
            <w:tcW w:w="917" w:type="dxa"/>
            <w:tcBorders>
              <w:top w:val="nil"/>
              <w:left w:val="nil"/>
              <w:bottom w:val="single" w:sz="8" w:space="0" w:color="000000"/>
              <w:right w:val="single" w:sz="8" w:space="0" w:color="000000"/>
            </w:tcBorders>
            <w:shd w:val="clear" w:color="000000" w:fill="EEECE1"/>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 </w:t>
            </w:r>
          </w:p>
        </w:tc>
      </w:tr>
      <w:tr w:rsidR="00987D04" w:rsidRPr="00A36DBC" w:rsidTr="00274BF7">
        <w:trPr>
          <w:trHeight w:val="273"/>
          <w:jc w:val="center"/>
        </w:trPr>
        <w:tc>
          <w:tcPr>
            <w:tcW w:w="1833" w:type="dxa"/>
            <w:tcBorders>
              <w:top w:val="nil"/>
              <w:left w:val="single" w:sz="8" w:space="0" w:color="000000"/>
              <w:bottom w:val="single" w:sz="8" w:space="0" w:color="000000"/>
              <w:right w:val="single" w:sz="8" w:space="0" w:color="000000"/>
            </w:tcBorders>
            <w:noWrap/>
            <w:vAlign w:val="bottom"/>
          </w:tcPr>
          <w:p w:rsidR="00987D04" w:rsidRPr="00582849" w:rsidRDefault="00987D04" w:rsidP="00274BF7">
            <w:pPr>
              <w:spacing w:after="0" w:line="240" w:lineRule="auto"/>
              <w:rPr>
                <w:rFonts w:ascii="Trebuchet MS" w:hAnsi="Trebuchet MS" w:cs="Calibri"/>
                <w:sz w:val="18"/>
                <w:szCs w:val="18"/>
                <w:lang w:eastAsia="el-GR"/>
              </w:rPr>
            </w:pPr>
            <w:r w:rsidRPr="00582849">
              <w:rPr>
                <w:rFonts w:ascii="Trebuchet MS" w:hAnsi="Trebuchet MS" w:cs="Calibri"/>
                <w:sz w:val="18"/>
                <w:szCs w:val="18"/>
                <w:lang w:eastAsia="el-GR"/>
              </w:rPr>
              <w:t>Ποσοστό ανεργίας</w:t>
            </w:r>
          </w:p>
        </w:tc>
        <w:tc>
          <w:tcPr>
            <w:tcW w:w="633" w:type="dxa"/>
            <w:tcBorders>
              <w:top w:val="nil"/>
              <w:left w:val="nil"/>
              <w:bottom w:val="single" w:sz="8" w:space="0" w:color="000000"/>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 </w:t>
            </w:r>
          </w:p>
        </w:tc>
        <w:tc>
          <w:tcPr>
            <w:tcW w:w="916" w:type="dxa"/>
            <w:tcBorders>
              <w:top w:val="nil"/>
              <w:left w:val="nil"/>
              <w:bottom w:val="single" w:sz="8" w:space="0" w:color="000000"/>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21,0%</w:t>
            </w:r>
          </w:p>
        </w:tc>
        <w:tc>
          <w:tcPr>
            <w:tcW w:w="688" w:type="dxa"/>
            <w:tcBorders>
              <w:top w:val="nil"/>
              <w:left w:val="nil"/>
              <w:bottom w:val="single" w:sz="8" w:space="0" w:color="000000"/>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 </w:t>
            </w:r>
          </w:p>
        </w:tc>
        <w:tc>
          <w:tcPr>
            <w:tcW w:w="917" w:type="dxa"/>
            <w:tcBorders>
              <w:top w:val="nil"/>
              <w:left w:val="nil"/>
              <w:bottom w:val="single" w:sz="8" w:space="0" w:color="000000"/>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19,8%</w:t>
            </w:r>
          </w:p>
        </w:tc>
        <w:tc>
          <w:tcPr>
            <w:tcW w:w="688" w:type="dxa"/>
            <w:tcBorders>
              <w:top w:val="nil"/>
              <w:left w:val="nil"/>
              <w:bottom w:val="single" w:sz="8" w:space="0" w:color="000000"/>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 </w:t>
            </w:r>
          </w:p>
        </w:tc>
        <w:tc>
          <w:tcPr>
            <w:tcW w:w="917" w:type="dxa"/>
            <w:tcBorders>
              <w:top w:val="nil"/>
              <w:left w:val="nil"/>
              <w:bottom w:val="single" w:sz="8" w:space="0" w:color="000000"/>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18,3%</w:t>
            </w:r>
          </w:p>
        </w:tc>
        <w:tc>
          <w:tcPr>
            <w:tcW w:w="634" w:type="dxa"/>
            <w:tcBorders>
              <w:top w:val="nil"/>
              <w:left w:val="nil"/>
              <w:bottom w:val="single" w:sz="8" w:space="0" w:color="000000"/>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 </w:t>
            </w:r>
          </w:p>
        </w:tc>
        <w:tc>
          <w:tcPr>
            <w:tcW w:w="917" w:type="dxa"/>
            <w:tcBorders>
              <w:top w:val="nil"/>
              <w:left w:val="nil"/>
              <w:bottom w:val="single" w:sz="8" w:space="0" w:color="000000"/>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17,1%</w:t>
            </w:r>
          </w:p>
        </w:tc>
        <w:tc>
          <w:tcPr>
            <w:tcW w:w="634" w:type="dxa"/>
            <w:tcBorders>
              <w:top w:val="nil"/>
              <w:left w:val="nil"/>
              <w:bottom w:val="single" w:sz="8" w:space="0" w:color="000000"/>
              <w:right w:val="nil"/>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 </w:t>
            </w:r>
          </w:p>
        </w:tc>
        <w:tc>
          <w:tcPr>
            <w:tcW w:w="917" w:type="dxa"/>
            <w:tcBorders>
              <w:top w:val="nil"/>
              <w:left w:val="nil"/>
              <w:bottom w:val="single" w:sz="8" w:space="0" w:color="000000"/>
              <w:right w:val="single" w:sz="8" w:space="0" w:color="000000"/>
            </w:tcBorders>
            <w:noWrap/>
            <w:vAlign w:val="bottom"/>
          </w:tcPr>
          <w:p w:rsidR="00987D04" w:rsidRPr="00582849" w:rsidRDefault="00987D04" w:rsidP="00274BF7">
            <w:pPr>
              <w:spacing w:after="0" w:line="240" w:lineRule="auto"/>
              <w:jc w:val="center"/>
              <w:rPr>
                <w:rFonts w:ascii="Trebuchet MS" w:hAnsi="Trebuchet MS" w:cs="Calibri"/>
                <w:sz w:val="18"/>
                <w:szCs w:val="18"/>
                <w:lang w:eastAsia="el-GR"/>
              </w:rPr>
            </w:pPr>
            <w:r w:rsidRPr="00582849">
              <w:rPr>
                <w:rFonts w:ascii="Trebuchet MS" w:hAnsi="Trebuchet MS" w:cs="Calibri"/>
                <w:sz w:val="18"/>
                <w:szCs w:val="18"/>
                <w:lang w:eastAsia="el-GR"/>
              </w:rPr>
              <w:t>16,3%</w:t>
            </w:r>
          </w:p>
        </w:tc>
      </w:tr>
    </w:tbl>
    <w:p w:rsidR="00987D04" w:rsidRPr="00FC35EE" w:rsidRDefault="00987D04" w:rsidP="00987D04">
      <w:pPr>
        <w:spacing w:after="0" w:line="240" w:lineRule="auto"/>
        <w:jc w:val="both"/>
        <w:rPr>
          <w:rFonts w:ascii="Trebuchet MS" w:hAnsi="Trebuchet MS"/>
          <w:color w:val="00A3E0"/>
          <w:sz w:val="18"/>
          <w:szCs w:val="18"/>
        </w:rPr>
      </w:pPr>
      <w:r w:rsidRPr="00FC35EE">
        <w:rPr>
          <w:rFonts w:ascii="Trebuchet MS" w:hAnsi="Trebuchet MS"/>
          <w:color w:val="00A3E0"/>
          <w:sz w:val="18"/>
          <w:szCs w:val="18"/>
        </w:rPr>
        <w:t>Πηγή: ΓΔΟΠ Υπ. Οικονομικών (05/2017)</w:t>
      </w:r>
    </w:p>
    <w:p w:rsidR="00987D04" w:rsidRPr="00FC35EE" w:rsidRDefault="00987D04" w:rsidP="00987D04">
      <w:pPr>
        <w:spacing w:after="0" w:line="240" w:lineRule="auto"/>
        <w:jc w:val="both"/>
        <w:rPr>
          <w:rFonts w:ascii="Trebuchet MS" w:hAnsi="Trebuchet MS"/>
          <w:color w:val="676A6E"/>
          <w:sz w:val="18"/>
          <w:szCs w:val="18"/>
        </w:rPr>
      </w:pPr>
      <w:r w:rsidRPr="00FC35EE">
        <w:rPr>
          <w:rFonts w:ascii="Trebuchet MS" w:hAnsi="Trebuchet MS"/>
          <w:color w:val="676A6E"/>
          <w:sz w:val="18"/>
          <w:szCs w:val="18"/>
        </w:rPr>
        <w:t>* Αφορά σε % μεταβολή σε σχέση με το προηγούμενο έτος.</w:t>
      </w:r>
    </w:p>
    <w:p w:rsidR="00987D04" w:rsidRPr="00FC35EE" w:rsidRDefault="00987D04" w:rsidP="00786EFD">
      <w:pPr>
        <w:jc w:val="both"/>
        <w:rPr>
          <w:rFonts w:ascii="Trebuchet MS" w:hAnsi="Trebuchet MS"/>
        </w:rPr>
      </w:pPr>
    </w:p>
    <w:p w:rsidR="001573F0" w:rsidRDefault="001573F0" w:rsidP="00FC35EE">
      <w:pPr>
        <w:jc w:val="both"/>
        <w:rPr>
          <w:rFonts w:ascii="Trebuchet MS" w:hAnsi="Trebuchet MS"/>
          <w:b/>
          <w:color w:val="00A3E0"/>
          <w:sz w:val="24"/>
          <w:szCs w:val="24"/>
        </w:rPr>
      </w:pPr>
    </w:p>
    <w:p w:rsidR="00371BD2" w:rsidRPr="00FC35EE" w:rsidRDefault="00371BD2" w:rsidP="00FC35EE">
      <w:pPr>
        <w:jc w:val="both"/>
        <w:rPr>
          <w:rFonts w:ascii="Trebuchet MS" w:hAnsi="Trebuchet MS"/>
          <w:b/>
          <w:color w:val="00A3E0"/>
          <w:sz w:val="24"/>
          <w:szCs w:val="24"/>
        </w:rPr>
      </w:pPr>
      <w:r w:rsidRPr="00FC35EE">
        <w:rPr>
          <w:rFonts w:ascii="Trebuchet MS" w:hAnsi="Trebuchet MS"/>
          <w:b/>
          <w:color w:val="00A3E0"/>
          <w:sz w:val="24"/>
          <w:szCs w:val="24"/>
        </w:rPr>
        <w:t>Ιδιωτική Κατανάλωση</w:t>
      </w:r>
    </w:p>
    <w:p w:rsidR="00371BD2" w:rsidRPr="00FC35EE" w:rsidRDefault="00371BD2" w:rsidP="007C4713">
      <w:pPr>
        <w:jc w:val="both"/>
        <w:rPr>
          <w:rFonts w:ascii="Trebuchet MS" w:hAnsi="Trebuchet MS"/>
          <w:color w:val="676A6E"/>
        </w:rPr>
      </w:pPr>
      <w:r w:rsidRPr="00FC35EE">
        <w:rPr>
          <w:rFonts w:ascii="Trebuchet MS" w:hAnsi="Trebuchet MS"/>
          <w:color w:val="676A6E"/>
        </w:rPr>
        <w:t>Στην Ελλάδα το ποσοστό της ιδιωτικής κατανάλωσης στη διάρθρωση του Α.Ε.Π. κυμαίνεται περί το 70%. Συνεπώς είναι το μέγεθος του οποίου η εξέλιξη</w:t>
      </w:r>
      <w:r>
        <w:rPr>
          <w:rFonts w:ascii="Trebuchet MS" w:hAnsi="Trebuchet MS"/>
          <w:color w:val="676A6E"/>
        </w:rPr>
        <w:t>,</w:t>
      </w:r>
      <w:r w:rsidRPr="00FC35EE">
        <w:rPr>
          <w:rFonts w:ascii="Trebuchet MS" w:hAnsi="Trebuchet MS"/>
          <w:color w:val="676A6E"/>
        </w:rPr>
        <w:t xml:space="preserve"> λόγω της υψηλής του βαρύτητας στο Α.Ε.Π.</w:t>
      </w:r>
      <w:r>
        <w:rPr>
          <w:rFonts w:ascii="Trebuchet MS" w:hAnsi="Trebuchet MS"/>
          <w:color w:val="676A6E"/>
        </w:rPr>
        <w:t>,</w:t>
      </w:r>
      <w:r w:rsidRPr="00FC35EE">
        <w:rPr>
          <w:rFonts w:ascii="Trebuchet MS" w:hAnsi="Trebuchet MS"/>
          <w:color w:val="676A6E"/>
        </w:rPr>
        <w:t xml:space="preserve"> το επηρεάζει σημαντικότερα από οποιαδήποτε άλλη συνιστώσα του. Κατά την εκτίμησή μας ο «</w:t>
      </w:r>
      <w:r w:rsidR="00510A83" w:rsidRPr="00FC35EE">
        <w:rPr>
          <w:rFonts w:ascii="Trebuchet MS" w:hAnsi="Trebuchet MS"/>
          <w:color w:val="676A6E"/>
        </w:rPr>
        <w:t>πήχ</w:t>
      </w:r>
      <w:r w:rsidR="00E92D9D">
        <w:rPr>
          <w:rFonts w:ascii="Trebuchet MS" w:hAnsi="Trebuchet MS"/>
          <w:color w:val="676A6E"/>
        </w:rPr>
        <w:t>υ</w:t>
      </w:r>
      <w:r w:rsidR="00510A83" w:rsidRPr="00FC35EE">
        <w:rPr>
          <w:rFonts w:ascii="Trebuchet MS" w:hAnsi="Trebuchet MS"/>
          <w:color w:val="676A6E"/>
        </w:rPr>
        <w:t>ς</w:t>
      </w:r>
      <w:r w:rsidRPr="00FC35EE">
        <w:rPr>
          <w:rFonts w:ascii="Trebuchet MS" w:hAnsi="Trebuchet MS"/>
          <w:color w:val="676A6E"/>
        </w:rPr>
        <w:t xml:space="preserve">» που τίθεται στο ΜΠΔΣ </w:t>
      </w:r>
      <w:r w:rsidR="00E92D9D">
        <w:rPr>
          <w:rFonts w:ascii="Trebuchet MS" w:hAnsi="Trebuchet MS"/>
          <w:color w:val="676A6E"/>
        </w:rPr>
        <w:t>για αύξηση με μέσο ετήσιο ρυθμό 1,2% είναι μεν αισιόδοξος στόχος,</w:t>
      </w:r>
      <w:r w:rsidRPr="00FC35EE">
        <w:rPr>
          <w:rFonts w:ascii="Trebuchet MS" w:hAnsi="Trebuchet MS"/>
          <w:color w:val="676A6E"/>
        </w:rPr>
        <w:t xml:space="preserve"> λόγω της πίεσης που ασκείται στο διαθέσιμο εισόδημα από τα συνεχόμενα φορολογικά μέτρα, αλλά μία σειρά παραγόντων μπορεί να το</w:t>
      </w:r>
      <w:r w:rsidR="000E0A2C">
        <w:rPr>
          <w:rFonts w:ascii="Trebuchet MS" w:hAnsi="Trebuchet MS"/>
          <w:color w:val="676A6E"/>
        </w:rPr>
        <w:t>ν</w:t>
      </w:r>
      <w:r w:rsidRPr="00FC35EE">
        <w:rPr>
          <w:rFonts w:ascii="Trebuchet MS" w:hAnsi="Trebuchet MS"/>
          <w:color w:val="676A6E"/>
        </w:rPr>
        <w:t xml:space="preserve"> κάνει επιτεύξιμο. Σε αυτούς συγκαταλέγονται η σταδιακή αναστροφή του οικονομικού κλίματος με την ολοκλήρωση της δεύτερης αξιολόγησης, η μείωση των ληξιπρόθεσμων υποχρεώσεων</w:t>
      </w:r>
      <w:r>
        <w:rPr>
          <w:rFonts w:ascii="Trebuchet MS" w:hAnsi="Trebuchet MS"/>
          <w:color w:val="676A6E"/>
        </w:rPr>
        <w:t xml:space="preserve"> του Δημοσίου προς τους ιδιώτες, </w:t>
      </w:r>
      <w:r w:rsidRPr="00FC35EE">
        <w:rPr>
          <w:rFonts w:ascii="Trebuchet MS" w:hAnsi="Trebuchet MS"/>
          <w:color w:val="676A6E"/>
        </w:rPr>
        <w:t>η πιστωτική επέκταση με έμφαση στην ιδιωτική κατανάλωση</w:t>
      </w:r>
      <w:r>
        <w:rPr>
          <w:rFonts w:ascii="Trebuchet MS" w:hAnsi="Trebuchet MS"/>
          <w:color w:val="676A6E"/>
        </w:rPr>
        <w:t xml:space="preserve"> και η σημαντική αποκλιμάκωση της ανεργίας</w:t>
      </w:r>
      <w:r w:rsidRPr="00FC35EE">
        <w:rPr>
          <w:rFonts w:ascii="Trebuchet MS" w:hAnsi="Trebuchet MS"/>
          <w:color w:val="676A6E"/>
        </w:rPr>
        <w:t>. Περαιτέρω μέτρα που μπορούν να συνδράμουν την τόνωση της ιδιωτικής κατανάλωσης και να δώσουν μια αφετηρία ώθησης στην οικονομία θα είναι η προγραμματισμένη και «στοχευμένη» διανομή «κοινωνικού μερίσματος» στην περίπτωση υπερ-απόδοσης σε συστηματική βάση</w:t>
      </w:r>
      <w:r w:rsidR="00D056A7">
        <w:rPr>
          <w:rFonts w:ascii="Trebuchet MS" w:hAnsi="Trebuchet MS"/>
          <w:color w:val="676A6E"/>
        </w:rPr>
        <w:t>.</w:t>
      </w:r>
      <w:r w:rsidR="004F46B9">
        <w:rPr>
          <w:rFonts w:ascii="Trebuchet MS" w:hAnsi="Trebuchet MS"/>
          <w:color w:val="676A6E"/>
        </w:rPr>
        <w:t xml:space="preserve"> </w:t>
      </w:r>
      <w:r w:rsidR="00BF1FF0">
        <w:rPr>
          <w:rFonts w:ascii="Trebuchet MS" w:hAnsi="Trebuchet MS"/>
          <w:color w:val="676A6E"/>
        </w:rPr>
        <w:t>Αντιστρόφως</w:t>
      </w:r>
      <w:r w:rsidR="004F46B9">
        <w:rPr>
          <w:rFonts w:ascii="Trebuchet MS" w:hAnsi="Trebuchet MS"/>
          <w:color w:val="676A6E"/>
        </w:rPr>
        <w:t xml:space="preserve">, μόνο αν </w:t>
      </w:r>
      <w:r w:rsidR="00D056A7">
        <w:rPr>
          <w:rFonts w:ascii="Trebuchet MS" w:hAnsi="Trebuchet MS"/>
          <w:color w:val="676A6E"/>
        </w:rPr>
        <w:t>επ</w:t>
      </w:r>
      <w:r w:rsidR="004F46B9">
        <w:rPr>
          <w:rFonts w:ascii="Trebuchet MS" w:hAnsi="Trebuchet MS"/>
          <w:color w:val="676A6E"/>
        </w:rPr>
        <w:t>ιτευχθούν οι</w:t>
      </w:r>
      <w:r w:rsidR="00D056A7">
        <w:rPr>
          <w:rFonts w:ascii="Trebuchet MS" w:hAnsi="Trebuchet MS"/>
          <w:color w:val="676A6E"/>
        </w:rPr>
        <w:t xml:space="preserve"> στ</w:t>
      </w:r>
      <w:r w:rsidR="004F46B9">
        <w:rPr>
          <w:rFonts w:ascii="Trebuchet MS" w:hAnsi="Trebuchet MS"/>
          <w:color w:val="676A6E"/>
        </w:rPr>
        <w:t>όχοι</w:t>
      </w:r>
      <w:r w:rsidR="00D056A7">
        <w:rPr>
          <w:rFonts w:ascii="Trebuchet MS" w:hAnsi="Trebuchet MS"/>
          <w:color w:val="676A6E"/>
        </w:rPr>
        <w:t xml:space="preserve"> για τα πρωτογενή πλεονάσματα </w:t>
      </w:r>
      <w:r w:rsidR="004F46B9">
        <w:rPr>
          <w:rFonts w:ascii="Trebuchet MS" w:hAnsi="Trebuchet MS"/>
          <w:color w:val="676A6E"/>
        </w:rPr>
        <w:t>θα εφαρμοστούν τα α</w:t>
      </w:r>
      <w:r w:rsidR="00377B0A">
        <w:rPr>
          <w:rFonts w:ascii="Trebuchet MS" w:hAnsi="Trebuchet MS"/>
          <w:color w:val="676A6E"/>
        </w:rPr>
        <w:t xml:space="preserve">ντισταθμιστικά </w:t>
      </w:r>
      <w:r w:rsidR="004F46B9">
        <w:rPr>
          <w:rFonts w:ascii="Trebuchet MS" w:hAnsi="Trebuchet MS"/>
          <w:color w:val="676A6E"/>
        </w:rPr>
        <w:t>μέτρα που μπορούν να αποτρέψουν την περιοριστική επίπτωση από τη μείωση των συντάξεων το 2019 και του αφορολογήτου το 2020</w:t>
      </w:r>
      <w:r w:rsidRPr="00FC35EE">
        <w:rPr>
          <w:rFonts w:ascii="Trebuchet MS" w:hAnsi="Trebuchet MS"/>
          <w:color w:val="676A6E"/>
        </w:rPr>
        <w:t xml:space="preserve">.  </w:t>
      </w:r>
    </w:p>
    <w:p w:rsidR="00377B0A" w:rsidRDefault="00377B0A" w:rsidP="00FC35EE">
      <w:pPr>
        <w:jc w:val="both"/>
        <w:rPr>
          <w:rFonts w:ascii="Trebuchet MS" w:hAnsi="Trebuchet MS"/>
          <w:b/>
          <w:color w:val="00A3E0"/>
          <w:sz w:val="24"/>
          <w:szCs w:val="24"/>
        </w:rPr>
      </w:pPr>
    </w:p>
    <w:p w:rsidR="00371BD2" w:rsidRPr="00FC35EE" w:rsidRDefault="00371BD2" w:rsidP="00FC35EE">
      <w:pPr>
        <w:jc w:val="both"/>
        <w:rPr>
          <w:rFonts w:ascii="Trebuchet MS" w:hAnsi="Trebuchet MS"/>
          <w:b/>
          <w:color w:val="00A3E0"/>
          <w:sz w:val="24"/>
          <w:szCs w:val="24"/>
        </w:rPr>
      </w:pPr>
      <w:r w:rsidRPr="00FC35EE">
        <w:rPr>
          <w:rFonts w:ascii="Trebuchet MS" w:hAnsi="Trebuchet MS"/>
          <w:b/>
          <w:color w:val="00A3E0"/>
          <w:sz w:val="24"/>
          <w:szCs w:val="24"/>
        </w:rPr>
        <w:t>Επενδύσεις</w:t>
      </w:r>
    </w:p>
    <w:p w:rsidR="00ED708A" w:rsidRPr="009203FB" w:rsidRDefault="00ED708A" w:rsidP="00ED708A">
      <w:pPr>
        <w:jc w:val="both"/>
        <w:rPr>
          <w:rFonts w:ascii="Trebuchet MS" w:hAnsi="Trebuchet MS"/>
          <w:color w:val="676A6E"/>
        </w:rPr>
      </w:pPr>
      <w:r w:rsidRPr="00FC35EE">
        <w:rPr>
          <w:rFonts w:ascii="Trebuchet MS" w:hAnsi="Trebuchet MS"/>
          <w:color w:val="676A6E"/>
        </w:rPr>
        <w:t>Σύμφωνα με τις προβλέψεις του ΜΠΔΣ 2018-2021 οι επενδύσεις θα αποτελέσουν την κινητήρια δύναμη στην αύξηση του Α.Ε.Π., αφού προβλέπεται μεγάλη άνοδος με πραγματικούς ρυθμούς αύξησης που θα ξεπεράσουν το 10% το 2018 και 2019 ενώ θα διατηρηθούν σημαντικά υψηλοί και τα υπ</w:t>
      </w:r>
      <w:r w:rsidR="00D272A9">
        <w:rPr>
          <w:rFonts w:ascii="Trebuchet MS" w:hAnsi="Trebuchet MS"/>
          <w:color w:val="676A6E"/>
        </w:rPr>
        <w:t>όλοιπα χρόνια του προγράμματος (μέσα επίπεδα αύξησης 9,8% ετησίως).</w:t>
      </w:r>
    </w:p>
    <w:p w:rsidR="00ED708A" w:rsidRDefault="00ED708A" w:rsidP="00ED708A">
      <w:pPr>
        <w:jc w:val="both"/>
        <w:rPr>
          <w:rFonts w:ascii="Trebuchet MS" w:hAnsi="Trebuchet MS"/>
          <w:color w:val="676A6E"/>
        </w:rPr>
      </w:pPr>
      <w:r>
        <w:rPr>
          <w:rFonts w:ascii="Trebuchet MS" w:hAnsi="Trebuchet MS"/>
          <w:color w:val="676A6E"/>
        </w:rPr>
        <w:t>Το προτεινόμενο ΜΠΔΣ διαχωρίζεται ως προς το ΠΔΕ σε δύο υποπεριόδους. Η πρόβλεψη είναι αρχικά για σταθερότητα του ύψους του προγράμματος στα σημερινά επίπεδα μέχρι και το επόμενο έτος 2018. Στη συνέχεια, κατά τη δεύτερη υποπερίοδο 2019-21, προβλέπεται σημαντική αύξηση του σκέλους που χρηματοδοτείται από εθνικούς πόρους (κατά 55% ήτοι κατά μισό δισ. ευρώ περίπου). Το αποτέλεσμα είναι ότι η πρόβλεψη για το συνολικό ΠΔΕ είναι μια αύξηση της τάξης του 8,2%</w:t>
      </w:r>
      <w:r w:rsidR="00BF1FF0">
        <w:rPr>
          <w:rFonts w:ascii="Trebuchet MS" w:hAnsi="Trebuchet MS"/>
          <w:color w:val="676A6E"/>
        </w:rPr>
        <w:t>.</w:t>
      </w:r>
    </w:p>
    <w:p w:rsidR="00ED708A" w:rsidRDefault="00ED708A" w:rsidP="00ED708A">
      <w:pPr>
        <w:jc w:val="both"/>
        <w:rPr>
          <w:rFonts w:ascii="Trebuchet MS" w:hAnsi="Trebuchet MS"/>
          <w:color w:val="676A6E"/>
        </w:rPr>
      </w:pPr>
      <w:r>
        <w:rPr>
          <w:rFonts w:ascii="Trebuchet MS" w:hAnsi="Trebuchet MS"/>
          <w:color w:val="676A6E"/>
        </w:rPr>
        <w:lastRenderedPageBreak/>
        <w:t xml:space="preserve">Με δεδομένο ότι μεγάλο μέρος του συγχρηματοδοτούμενου από ευρωπαϊκούς πόρους ΠΔΕ δεν αφορά σε δαπάνες εκσυγχρονισμού ή προσθήκες τεχνικού εξοπλισμού και υποδομών, </w:t>
      </w:r>
      <w:r w:rsidRPr="00FC35EE">
        <w:rPr>
          <w:rFonts w:ascii="Trebuchet MS" w:hAnsi="Trebuchet MS"/>
          <w:color w:val="676A6E"/>
        </w:rPr>
        <w:t xml:space="preserve">το «βάρος» για την επίτευξη των στόχων πέφτει εξ ολοκλήρου στον ιδιωτικό τομέα. </w:t>
      </w:r>
      <w:r>
        <w:rPr>
          <w:rFonts w:ascii="Trebuchet MS" w:hAnsi="Trebuchet MS"/>
          <w:color w:val="676A6E"/>
        </w:rPr>
        <w:t>Οι</w:t>
      </w:r>
      <w:r w:rsidRPr="00FC35EE">
        <w:rPr>
          <w:rFonts w:ascii="Trebuchet MS" w:hAnsi="Trebuchet MS"/>
          <w:color w:val="676A6E"/>
        </w:rPr>
        <w:t xml:space="preserve"> πρ</w:t>
      </w:r>
      <w:r>
        <w:rPr>
          <w:rFonts w:ascii="Trebuchet MS" w:hAnsi="Trebuchet MS"/>
          <w:color w:val="676A6E"/>
        </w:rPr>
        <w:t>ο</w:t>
      </w:r>
      <w:r w:rsidRPr="00FC35EE">
        <w:rPr>
          <w:rFonts w:ascii="Trebuchet MS" w:hAnsi="Trebuchet MS"/>
          <w:color w:val="676A6E"/>
        </w:rPr>
        <w:t>βλ</w:t>
      </w:r>
      <w:r>
        <w:rPr>
          <w:rFonts w:ascii="Trebuchet MS" w:hAnsi="Trebuchet MS"/>
          <w:color w:val="676A6E"/>
        </w:rPr>
        <w:t>έψεις</w:t>
      </w:r>
      <w:r w:rsidRPr="00FC35EE">
        <w:rPr>
          <w:rFonts w:ascii="Trebuchet MS" w:hAnsi="Trebuchet MS"/>
          <w:color w:val="676A6E"/>
        </w:rPr>
        <w:t xml:space="preserve"> </w:t>
      </w:r>
      <w:r>
        <w:rPr>
          <w:rFonts w:ascii="Trebuchet MS" w:hAnsi="Trebuchet MS"/>
          <w:color w:val="676A6E"/>
        </w:rPr>
        <w:t xml:space="preserve">του ΜΠΔΣ για αύξηση </w:t>
      </w:r>
      <w:r w:rsidR="001573F0">
        <w:rPr>
          <w:rFonts w:ascii="Trebuchet MS" w:hAnsi="Trebuchet MS"/>
          <w:color w:val="676A6E"/>
        </w:rPr>
        <w:t>των επενδύσεων</w:t>
      </w:r>
      <w:r>
        <w:rPr>
          <w:rFonts w:ascii="Trebuchet MS" w:hAnsi="Trebuchet MS"/>
          <w:color w:val="676A6E"/>
        </w:rPr>
        <w:t xml:space="preserve"> παγίου κεφαλαίου καθίστανται έτσι υπέρμετρα αισιόδοξες </w:t>
      </w:r>
      <w:r w:rsidRPr="00FC35EE">
        <w:rPr>
          <w:rFonts w:ascii="Trebuchet MS" w:hAnsi="Trebuchet MS"/>
          <w:color w:val="676A6E"/>
        </w:rPr>
        <w:t xml:space="preserve">σε σχέση με τις προβλέψεις για τις υπόλοιπες συνιστώσες του Α.Ε.Π. </w:t>
      </w:r>
    </w:p>
    <w:p w:rsidR="00E06DA8" w:rsidRDefault="00ED708A" w:rsidP="00ED708A">
      <w:pPr>
        <w:jc w:val="both"/>
        <w:rPr>
          <w:rFonts w:ascii="Trebuchet MS" w:hAnsi="Trebuchet MS"/>
          <w:color w:val="676A6E"/>
        </w:rPr>
      </w:pPr>
      <w:r w:rsidRPr="00FC35EE">
        <w:rPr>
          <w:rFonts w:ascii="Trebuchet MS" w:hAnsi="Trebuchet MS"/>
          <w:color w:val="676A6E"/>
        </w:rPr>
        <w:t>Η ανάκαμψη των επενδύσεων σε παραγωγικό εξοπλισμό μετά από μια μακρόχρονη περίοδο αποεπένδυσης και απαξίωσης του παραγωγικού κεφαλαίου, σε συνθήκες χρόνιων αρνητικών ρυθμών μεταβολής της αποταμίευσης των νοικοκυριών και χρηματοδοτικής δυσχέρειας του δημοσίου</w:t>
      </w:r>
      <w:r w:rsidR="004F46B9">
        <w:rPr>
          <w:rFonts w:ascii="Trebuchet MS" w:hAnsi="Trebuchet MS"/>
          <w:color w:val="676A6E"/>
        </w:rPr>
        <w:t>,</w:t>
      </w:r>
      <w:r w:rsidRPr="00FC35EE">
        <w:rPr>
          <w:rFonts w:ascii="Trebuchet MS" w:hAnsi="Trebuchet MS"/>
          <w:color w:val="676A6E"/>
        </w:rPr>
        <w:t xml:space="preserve"> μπορεί να προέλ</w:t>
      </w:r>
      <w:r w:rsidR="004F46B9">
        <w:rPr>
          <w:rFonts w:ascii="Trebuchet MS" w:hAnsi="Trebuchet MS"/>
          <w:color w:val="676A6E"/>
        </w:rPr>
        <w:t>θει, κατά βάση, από ιδιωτικές εγχώριες και κυρίως ξένες άμεσες επενδύσεις</w:t>
      </w:r>
      <w:r w:rsidRPr="00FC35EE">
        <w:rPr>
          <w:rFonts w:ascii="Trebuchet MS" w:hAnsi="Trebuchet MS"/>
          <w:color w:val="676A6E"/>
        </w:rPr>
        <w:t xml:space="preserve">. Κατά συνέπεια τίθεται επί τάπητος το ζήτημα των κινήτρων, της διευκόλυνσης και της ευρύτερης ρύθμισης των όρων επιχειρηματικής δράσης. Παράλληλα, πρέπει να ληφθούν μέτρα που θα καλλιεργούν μεσοπρόθεσμα την ενίσχυση της ροπής προς την αποταμίευση, ώστε από τη μια μεριά να συγκρατηθεί η ιδιωτική κατανάλωση εισαγομένων αγαθών και να περιοριστούν οι πιέσεις στο εμπορικό ισοζύγιο ενώ, από την άλλη, να συγκεντρώνονται πόροι για την εγχώρια χρηματοδότηση παραγωγικών επενδύσεων. </w:t>
      </w:r>
    </w:p>
    <w:p w:rsidR="00ED708A" w:rsidRPr="00FC35EE" w:rsidRDefault="00ED708A" w:rsidP="00ED708A">
      <w:pPr>
        <w:jc w:val="both"/>
        <w:rPr>
          <w:rFonts w:ascii="Trebuchet MS" w:hAnsi="Trebuchet MS"/>
          <w:color w:val="676A6E"/>
        </w:rPr>
      </w:pPr>
      <w:r w:rsidRPr="00FC35EE">
        <w:rPr>
          <w:rFonts w:ascii="Trebuchet MS" w:hAnsi="Trebuchet MS"/>
          <w:color w:val="676A6E"/>
        </w:rPr>
        <w:t>Επιπλέον θα πρέπει τα μεγάλα επενδυτικά σχέδια που ήδη έχουν δρομολογηθεί (π.χ. το έργο στο πρώην αεροδρόμιο του Ελληνικού) να ξεκινήσουν να υλοποιούνται, σε συνδυασμό με μικρότερου μεγέθους επενδυτικές προσπάθειες. Ειδικά για τις τελευταίες</w:t>
      </w:r>
      <w:r>
        <w:rPr>
          <w:rFonts w:ascii="Trebuchet MS" w:hAnsi="Trebuchet MS"/>
          <w:color w:val="676A6E"/>
        </w:rPr>
        <w:t>,</w:t>
      </w:r>
      <w:r w:rsidRPr="00FC35EE">
        <w:rPr>
          <w:rFonts w:ascii="Trebuchet MS" w:hAnsi="Trebuchet MS"/>
          <w:color w:val="676A6E"/>
        </w:rPr>
        <w:t xml:space="preserve"> η σταδιακή άμβλυνση των κεφαλαιακών ελέγχων αποτελεί κρίσιμο στοιχείο για την υλοποίησή τους. Η οικοδομική δραστηριότητα η οποία για δεκαετίες αποτέλεσε το μεγαλύτερο μέρος </w:t>
      </w:r>
      <w:r>
        <w:rPr>
          <w:rFonts w:ascii="Trebuchet MS" w:hAnsi="Trebuchet MS"/>
          <w:color w:val="676A6E"/>
        </w:rPr>
        <w:t>του</w:t>
      </w:r>
      <w:r w:rsidRPr="00FC35EE">
        <w:rPr>
          <w:rFonts w:ascii="Trebuchet MS" w:hAnsi="Trebuchet MS"/>
          <w:color w:val="676A6E"/>
        </w:rPr>
        <w:t xml:space="preserve"> ακαθάριστου σχηματισμού παγίου κεφαλαίου εκτιμάμε ότι δεν πρόκειται να </w:t>
      </w:r>
      <w:r w:rsidR="00BA56AE">
        <w:rPr>
          <w:rFonts w:ascii="Trebuchet MS" w:hAnsi="Trebuchet MS"/>
          <w:color w:val="676A6E"/>
        </w:rPr>
        <w:t>έχει σημαντική άμεση ανάκαμψη</w:t>
      </w:r>
      <w:r w:rsidRPr="00FC35EE">
        <w:rPr>
          <w:rFonts w:ascii="Trebuchet MS" w:hAnsi="Trebuchet MS"/>
          <w:color w:val="676A6E"/>
        </w:rPr>
        <w:t>.</w:t>
      </w:r>
    </w:p>
    <w:p w:rsidR="00ED708A" w:rsidRPr="00EF4E04" w:rsidRDefault="00ED708A" w:rsidP="00ED708A">
      <w:pPr>
        <w:jc w:val="both"/>
        <w:rPr>
          <w:rFonts w:ascii="Trebuchet MS" w:hAnsi="Trebuchet MS"/>
          <w:color w:val="676A6E"/>
        </w:rPr>
      </w:pPr>
      <w:r w:rsidRPr="00EF4E04">
        <w:rPr>
          <w:rFonts w:ascii="Trebuchet MS" w:hAnsi="Trebuchet MS"/>
          <w:color w:val="676A6E"/>
        </w:rPr>
        <w:t>Από πλευράς δημοσίων επενδύσεων, στο βαθμό που το επιτρέπουν οι δημοσιονομικοί στόχοι του προγράμματος προσαρμογής, θα πρέπει να αντιστραφεί η τάση περιορισμού του ΠΔΕ μετά το 2008</w:t>
      </w:r>
      <w:r w:rsidRPr="00EF4E04">
        <w:rPr>
          <w:rStyle w:val="FootnoteReference"/>
          <w:rFonts w:ascii="Trebuchet MS" w:hAnsi="Trebuchet MS"/>
          <w:color w:val="676A6E"/>
        </w:rPr>
        <w:footnoteReference w:id="3"/>
      </w:r>
      <w:r w:rsidRPr="00EF4E04">
        <w:rPr>
          <w:rFonts w:ascii="Trebuchet MS" w:hAnsi="Trebuchet MS"/>
          <w:color w:val="676A6E"/>
        </w:rPr>
        <w:t xml:space="preserve"> και να επιδιωχθεί η ενεργός διαχείρισή του ως μοχλός για την επιτάχυνση της αναπτυξιακής διαδικασίας. Στο πλαίσιο αυτό, είναι επιτακτική ανάγκη η πλήρης και, κατά το δυνατόν, εμπροσθοβαρής απορρόφηση των διαθέσιμων εθνικών και ευρωπαϊκών κονδυλίων</w:t>
      </w:r>
      <w:r w:rsidRPr="00EF4E04">
        <w:rPr>
          <w:rStyle w:val="FootnoteReference"/>
          <w:rFonts w:ascii="Trebuchet MS" w:hAnsi="Trebuchet MS"/>
          <w:color w:val="676A6E"/>
        </w:rPr>
        <w:footnoteReference w:id="4"/>
      </w:r>
      <w:r w:rsidRPr="00EF4E04">
        <w:rPr>
          <w:rFonts w:ascii="Trebuchet MS" w:hAnsi="Trebuchet MS"/>
          <w:color w:val="676A6E"/>
        </w:rPr>
        <w:t xml:space="preserve"> και η αποδοτικότερη αξιοποίησή τους σε έργα υψηλής προστιθέμενης αξίας. Πρέπει άλλωστε να σημειωθεί ότι οι συνέπειες της χρόνιας υποχρηματοδότησης λόγω της οικονομικής κρίσης είναι ήδη έκδηλες στις δημόσιες υποδομές. Μεσοπρόθεσμα, η δραστική αντιμετώπισή τους αναμ</w:t>
      </w:r>
      <w:r w:rsidR="00377B0A">
        <w:rPr>
          <w:rFonts w:ascii="Trebuchet MS" w:hAnsi="Trebuchet MS"/>
          <w:color w:val="676A6E"/>
        </w:rPr>
        <w:t xml:space="preserve">ένεται να καταστεί αναπόφευκτη </w:t>
      </w:r>
      <w:r w:rsidRPr="00EF4E04">
        <w:rPr>
          <w:rFonts w:ascii="Trebuchet MS" w:hAnsi="Trebuchet MS"/>
          <w:color w:val="676A6E"/>
        </w:rPr>
        <w:t xml:space="preserve">σε ορισμένους, τουλάχιστον τομείς – όπως π.χ. τα σχολικά κτίρια, σύμφωνα με πρόσφατες </w:t>
      </w:r>
      <w:r w:rsidR="000277CA">
        <w:rPr>
          <w:rFonts w:ascii="Trebuchet MS" w:hAnsi="Trebuchet MS"/>
          <w:color w:val="676A6E"/>
        </w:rPr>
        <w:t>μελέτες</w:t>
      </w:r>
      <w:r w:rsidRPr="00EF4E04">
        <w:rPr>
          <w:color w:val="676A6E"/>
          <w:vertAlign w:val="superscript"/>
        </w:rPr>
        <w:footnoteReference w:id="5"/>
      </w:r>
      <w:r w:rsidRPr="00EF4E04">
        <w:rPr>
          <w:rFonts w:ascii="Trebuchet MS" w:hAnsi="Trebuchet MS"/>
          <w:color w:val="676A6E"/>
        </w:rPr>
        <w:t xml:space="preserve">. </w:t>
      </w:r>
    </w:p>
    <w:p w:rsidR="00371BD2" w:rsidRPr="00EF4E04" w:rsidRDefault="00ED708A" w:rsidP="00461423">
      <w:pPr>
        <w:jc w:val="both"/>
        <w:rPr>
          <w:rFonts w:ascii="Trebuchet MS" w:hAnsi="Trebuchet MS"/>
          <w:color w:val="676A6E"/>
        </w:rPr>
      </w:pPr>
      <w:r w:rsidRPr="00EF4E04">
        <w:rPr>
          <w:rFonts w:ascii="Trebuchet MS" w:hAnsi="Trebuchet MS"/>
          <w:color w:val="676A6E"/>
        </w:rPr>
        <w:t>Για τους λόγους αυτούς θεωρούμε ότι η αξιοπιστία των προβλέψεων για αύξηση των επενδύσεων συναρτάται ευθέως με το</w:t>
      </w:r>
      <w:r w:rsidR="00377B0A">
        <w:rPr>
          <w:rFonts w:ascii="Trebuchet MS" w:hAnsi="Trebuchet MS"/>
          <w:color w:val="676A6E"/>
        </w:rPr>
        <w:t>ν</w:t>
      </w:r>
      <w:r w:rsidRPr="00EF4E04">
        <w:rPr>
          <w:rFonts w:ascii="Trebuchet MS" w:hAnsi="Trebuchet MS"/>
          <w:color w:val="676A6E"/>
        </w:rPr>
        <w:t xml:space="preserve"> σχεδιασμό συγκεκριμένων μέτρων αύξησης των διαθέσιμων πόρων για δημόσιες επενδύσεις με χρήση χρηματοδοτικών πηγών του εξωτερικού - όπως π.χ. η Ευρωπαϊκή Τράπεζα Επενδύσεων - και με αξιοποίηση πόρων που θα μπορούσαν να εξοικονομηθούν με ορθολογικότερη διαχείριση άλλων κατηγοριών δαπανών του Τακτικού Προϋπολογισμού που θα </w:t>
      </w:r>
      <w:r w:rsidR="00EA615E" w:rsidRPr="00EF4E04">
        <w:rPr>
          <w:rFonts w:ascii="Trebuchet MS" w:hAnsi="Trebuchet MS"/>
          <w:color w:val="676A6E"/>
        </w:rPr>
        <w:t>απελευθερώσει</w:t>
      </w:r>
      <w:r w:rsidRPr="00EF4E04">
        <w:rPr>
          <w:rFonts w:ascii="Trebuchet MS" w:hAnsi="Trebuchet MS"/>
          <w:color w:val="676A6E"/>
        </w:rPr>
        <w:t xml:space="preserve"> πόρους με στόχο την ανακατανομή τους υπέρ του ΠΔΕ. </w:t>
      </w:r>
      <w:r w:rsidR="00371BD2" w:rsidRPr="00EF4E04">
        <w:rPr>
          <w:rFonts w:ascii="Trebuchet MS" w:hAnsi="Trebuchet MS"/>
          <w:color w:val="676A6E"/>
        </w:rPr>
        <w:t xml:space="preserve"> </w:t>
      </w:r>
    </w:p>
    <w:p w:rsidR="00371BD2" w:rsidRPr="00FC35EE" w:rsidRDefault="00371BD2" w:rsidP="00461423">
      <w:pPr>
        <w:jc w:val="both"/>
        <w:rPr>
          <w:rFonts w:ascii="Trebuchet MS" w:hAnsi="Trebuchet MS"/>
        </w:rPr>
      </w:pPr>
    </w:p>
    <w:p w:rsidR="00371BD2" w:rsidRPr="00FC35EE" w:rsidRDefault="00371BD2" w:rsidP="00FC35EE">
      <w:pPr>
        <w:jc w:val="both"/>
        <w:rPr>
          <w:rFonts w:ascii="Trebuchet MS" w:hAnsi="Trebuchet MS"/>
          <w:b/>
          <w:color w:val="00A3E0"/>
          <w:sz w:val="24"/>
          <w:szCs w:val="24"/>
        </w:rPr>
      </w:pPr>
      <w:r w:rsidRPr="00FC35EE">
        <w:rPr>
          <w:rFonts w:ascii="Trebuchet MS" w:hAnsi="Trebuchet MS"/>
          <w:b/>
          <w:color w:val="00A3E0"/>
          <w:sz w:val="24"/>
          <w:szCs w:val="24"/>
        </w:rPr>
        <w:lastRenderedPageBreak/>
        <w:t>Εξωτερικό Ισοζύγιο</w:t>
      </w:r>
    </w:p>
    <w:p w:rsidR="00371BD2" w:rsidRPr="000D5B08" w:rsidRDefault="00371BD2" w:rsidP="00CD08CD">
      <w:pPr>
        <w:jc w:val="both"/>
        <w:rPr>
          <w:rFonts w:ascii="Trebuchet MS" w:hAnsi="Trebuchet MS"/>
          <w:color w:val="676A6E"/>
        </w:rPr>
      </w:pPr>
      <w:r w:rsidRPr="000D5B08">
        <w:rPr>
          <w:rFonts w:ascii="Trebuchet MS" w:hAnsi="Trebuchet MS"/>
          <w:color w:val="676A6E"/>
        </w:rPr>
        <w:t>Το ΜΠΔΣ 2018-2021 προβλέπει πραγματική αύξηση της αξίας τόσο των εισαγωγών όσο και των εξαγωγών, με την καθαρή συνεισφορά του εξωτερικού ισοζυγίου της χώρας στο ΑΕΠ να παραμένει ελαφρά αρνητική καθ</w:t>
      </w:r>
      <w:r w:rsidR="00C343A3" w:rsidRPr="00C343A3">
        <w:rPr>
          <w:rFonts w:ascii="Trebuchet MS" w:hAnsi="Trebuchet MS"/>
          <w:color w:val="676A6E"/>
        </w:rPr>
        <w:t>’</w:t>
      </w:r>
      <w:r w:rsidR="00377B0A">
        <w:rPr>
          <w:rFonts w:ascii="Trebuchet MS" w:hAnsi="Trebuchet MS"/>
          <w:color w:val="676A6E"/>
        </w:rPr>
        <w:t xml:space="preserve"> </w:t>
      </w:r>
      <w:r w:rsidR="000D5B08">
        <w:rPr>
          <w:rFonts w:ascii="Trebuchet MS" w:hAnsi="Trebuchet MS"/>
          <w:color w:val="676A6E"/>
        </w:rPr>
        <w:t>όλη</w:t>
      </w:r>
      <w:r w:rsidR="00C343A3">
        <w:rPr>
          <w:rFonts w:ascii="Trebuchet MS" w:hAnsi="Trebuchet MS"/>
          <w:color w:val="676A6E"/>
        </w:rPr>
        <w:t>ν</w:t>
      </w:r>
      <w:r w:rsidR="000D5B08">
        <w:rPr>
          <w:rFonts w:ascii="Trebuchet MS" w:hAnsi="Trebuchet MS"/>
          <w:color w:val="676A6E"/>
        </w:rPr>
        <w:t xml:space="preserve"> τη διάρκεια του ΜΠΔΣ. Τ</w:t>
      </w:r>
      <w:r w:rsidRPr="00FC35EE">
        <w:rPr>
          <w:rFonts w:ascii="Trebuchet MS" w:hAnsi="Trebuchet MS"/>
          <w:color w:val="676A6E"/>
        </w:rPr>
        <w:t>ο χρόνιο έλλειμμ</w:t>
      </w:r>
      <w:r w:rsidR="000D5B08">
        <w:rPr>
          <w:rFonts w:ascii="Trebuchet MS" w:hAnsi="Trebuchet MS"/>
          <w:color w:val="676A6E"/>
        </w:rPr>
        <w:t xml:space="preserve">α του εμπορικού ισοζυγίου πρόσκαιρα </w:t>
      </w:r>
      <w:r w:rsidRPr="00FC35EE">
        <w:rPr>
          <w:rFonts w:ascii="Trebuchet MS" w:hAnsi="Trebuchet MS"/>
          <w:color w:val="676A6E"/>
        </w:rPr>
        <w:t xml:space="preserve">έχει ρυθμιστεί και αυτό λόγω της μείωσης του διαθεσίμου εισοδήματος και των περιορισμών στην κίνηση κεφαλαίων. Έτσι υπάρχει ο κίνδυνος </w:t>
      </w:r>
      <w:r w:rsidRPr="009D6EF2">
        <w:rPr>
          <w:rFonts w:ascii="Trebuchet MS" w:hAnsi="Trebuchet MS"/>
          <w:color w:val="676A6E"/>
        </w:rPr>
        <w:t>για</w:t>
      </w:r>
      <w:r w:rsidRPr="00FC35EE">
        <w:rPr>
          <w:rFonts w:ascii="Trebuchet MS" w:hAnsi="Trebuchet MS"/>
          <w:color w:val="676A6E"/>
        </w:rPr>
        <w:t xml:space="preserve"> μεγαλύτερη αύξηση των εισαγωγών </w:t>
      </w:r>
      <w:r w:rsidRPr="009D6EF2">
        <w:rPr>
          <w:rFonts w:ascii="Trebuchet MS" w:hAnsi="Trebuchet MS"/>
          <w:color w:val="676A6E"/>
        </w:rPr>
        <w:t>δεδομέν</w:t>
      </w:r>
      <w:r>
        <w:rPr>
          <w:rFonts w:ascii="Trebuchet MS" w:hAnsi="Trebuchet MS"/>
          <w:color w:val="676A6E"/>
        </w:rPr>
        <w:t>ης</w:t>
      </w:r>
      <w:r w:rsidRPr="00FC35EE">
        <w:rPr>
          <w:rFonts w:ascii="Trebuchet MS" w:hAnsi="Trebuchet MS"/>
          <w:color w:val="676A6E"/>
        </w:rPr>
        <w:t xml:space="preserve"> τη</w:t>
      </w:r>
      <w:r w:rsidRPr="009D6EF2">
        <w:rPr>
          <w:rFonts w:ascii="Trebuchet MS" w:hAnsi="Trebuchet MS"/>
          <w:color w:val="676A6E"/>
        </w:rPr>
        <w:t>ς</w:t>
      </w:r>
      <w:r w:rsidRPr="00FC35EE">
        <w:rPr>
          <w:rFonts w:ascii="Trebuchet MS" w:hAnsi="Trebuchet MS"/>
          <w:color w:val="676A6E"/>
        </w:rPr>
        <w:t xml:space="preserve"> υψηλής οριακής ροπής προς εισαγωγ</w:t>
      </w:r>
      <w:r w:rsidRPr="009D6EF2">
        <w:rPr>
          <w:rFonts w:ascii="Trebuchet MS" w:hAnsi="Trebuchet MS"/>
          <w:color w:val="676A6E"/>
        </w:rPr>
        <w:t>ές που δ</w:t>
      </w:r>
      <w:r w:rsidRPr="00FC35EE">
        <w:rPr>
          <w:rFonts w:ascii="Trebuchet MS" w:hAnsi="Trebuchet MS"/>
          <w:color w:val="676A6E"/>
        </w:rPr>
        <w:t xml:space="preserve">ιέπει διαχρονικά τη λειτουργία της ελληνικής οικονομίας. </w:t>
      </w:r>
      <w:r w:rsidR="003A76FD">
        <w:rPr>
          <w:rFonts w:ascii="Trebuchet MS" w:hAnsi="Trebuchet MS"/>
          <w:color w:val="676A6E"/>
        </w:rPr>
        <w:t>Ε</w:t>
      </w:r>
      <w:r w:rsidRPr="009D6EF2">
        <w:rPr>
          <w:rFonts w:ascii="Trebuchet MS" w:hAnsi="Trebuchet MS"/>
          <w:color w:val="676A6E"/>
        </w:rPr>
        <w:t xml:space="preserve">ίναι </w:t>
      </w:r>
      <w:r w:rsidR="003A76FD">
        <w:rPr>
          <w:rFonts w:ascii="Trebuchet MS" w:hAnsi="Trebuchet MS"/>
          <w:color w:val="676A6E"/>
        </w:rPr>
        <w:t xml:space="preserve">λοιπόν </w:t>
      </w:r>
      <w:r w:rsidRPr="009D6EF2">
        <w:rPr>
          <w:rFonts w:ascii="Trebuchet MS" w:hAnsi="Trebuchet MS"/>
          <w:color w:val="676A6E"/>
        </w:rPr>
        <w:t>πιθανό η</w:t>
      </w:r>
      <w:r w:rsidRPr="00FC35EE">
        <w:rPr>
          <w:rFonts w:ascii="Trebuchet MS" w:hAnsi="Trebuchet MS"/>
          <w:color w:val="676A6E"/>
        </w:rPr>
        <w:t xml:space="preserve"> ανάκαμψη της οικονομίας και η σταδιακή χαλάρωση των περιορισμών </w:t>
      </w:r>
      <w:r w:rsidRPr="009D6EF2">
        <w:rPr>
          <w:rFonts w:ascii="Trebuchet MS" w:hAnsi="Trebuchet MS"/>
          <w:color w:val="676A6E"/>
        </w:rPr>
        <w:t>να</w:t>
      </w:r>
      <w:r w:rsidRPr="00FC35EE">
        <w:rPr>
          <w:rFonts w:ascii="Trebuchet MS" w:hAnsi="Trebuchet MS"/>
          <w:color w:val="676A6E"/>
        </w:rPr>
        <w:t xml:space="preserve"> επαναφέρουν τις πιέσεις στο εμπορικό ισοζύγιο. </w:t>
      </w:r>
      <w:r w:rsidR="000D5B08">
        <w:rPr>
          <w:rFonts w:ascii="Trebuchet MS" w:hAnsi="Trebuchet MS"/>
          <w:color w:val="676A6E"/>
        </w:rPr>
        <w:t xml:space="preserve">Η σταδιακή μεταστροφή του παραγωγικού </w:t>
      </w:r>
      <w:r w:rsidR="000D5B08" w:rsidRPr="000D5B08">
        <w:rPr>
          <w:rFonts w:ascii="Trebuchet MS" w:hAnsi="Trebuchet MS"/>
          <w:color w:val="676A6E"/>
        </w:rPr>
        <w:t xml:space="preserve">συστήματος προς τα διεθνώς εμπορεύσιμα αγαθά και υπηρεσίες απαιτεί την υλοποίηση ενός </w:t>
      </w:r>
      <w:r w:rsidR="00EF4E04" w:rsidRPr="000D5B08">
        <w:rPr>
          <w:rFonts w:ascii="Trebuchet MS" w:hAnsi="Trebuchet MS"/>
          <w:color w:val="676A6E"/>
        </w:rPr>
        <w:t>φιλόδοξου</w:t>
      </w:r>
      <w:r w:rsidR="000D5B08" w:rsidRPr="000D5B08">
        <w:rPr>
          <w:rFonts w:ascii="Trebuchet MS" w:hAnsi="Trebuchet MS"/>
          <w:color w:val="676A6E"/>
        </w:rPr>
        <w:t xml:space="preserve"> όσο και μετρημένου σχεδίου παραγωγικής ανασυγκρότησης.</w:t>
      </w:r>
    </w:p>
    <w:p w:rsidR="007721CA" w:rsidRDefault="007721CA" w:rsidP="00CD08CD">
      <w:pPr>
        <w:jc w:val="both"/>
        <w:rPr>
          <w:rFonts w:ascii="Trebuchet MS" w:hAnsi="Trebuchet MS"/>
          <w:b/>
          <w:color w:val="00A3E0"/>
          <w:sz w:val="28"/>
          <w:szCs w:val="28"/>
        </w:rPr>
      </w:pPr>
    </w:p>
    <w:p w:rsidR="007721CA" w:rsidRPr="007721CA" w:rsidRDefault="007721CA" w:rsidP="007721CA">
      <w:pPr>
        <w:jc w:val="both"/>
        <w:rPr>
          <w:rFonts w:ascii="Trebuchet MS" w:hAnsi="Trebuchet MS"/>
          <w:b/>
          <w:color w:val="00A3E0"/>
          <w:sz w:val="28"/>
          <w:szCs w:val="28"/>
        </w:rPr>
      </w:pPr>
      <w:r w:rsidRPr="007721CA">
        <w:rPr>
          <w:rFonts w:ascii="Trebuchet MS" w:hAnsi="Trebuchet MS"/>
          <w:b/>
          <w:color w:val="00A3E0"/>
          <w:sz w:val="28"/>
          <w:szCs w:val="28"/>
        </w:rPr>
        <w:t>Δημόσιο χρέος</w:t>
      </w:r>
    </w:p>
    <w:p w:rsidR="007721CA" w:rsidRPr="007721CA" w:rsidRDefault="007721CA" w:rsidP="007721CA">
      <w:pPr>
        <w:jc w:val="both"/>
        <w:rPr>
          <w:rFonts w:ascii="Trebuchet MS" w:hAnsi="Trebuchet MS"/>
          <w:color w:val="676A6E"/>
        </w:rPr>
      </w:pPr>
      <w:r w:rsidRPr="007721CA">
        <w:rPr>
          <w:rFonts w:ascii="Trebuchet MS" w:hAnsi="Trebuchet MS"/>
          <w:color w:val="676A6E"/>
        </w:rPr>
        <w:t xml:space="preserve">Σύμφωνα με τις προβλέψεις του ΜΠΔΣ 2018-2021 η πορεία του λόγου δημόσιου χρέους προς ΑΕΠ θα είναι διαρκώς μειούμενη, αγγίζοντας το 149% το 2021. Η μείωση αυτή οφείλεται κατά μεγάλο μέρος στην πρόβλεψη για διατηρούμενους ρυθμούς μεγέθυνσης του ΑΕΠ πάνω από 2% από το 2018 και πέρα. Το ονομαστικό δημόσιο χρέος εμφανίζεται να έχει αθροιστική μείωση συνολικού ύψους 3,7 δισ. ευρώ ή κατά 1,2% σε σύγκριση με τα μέγιστα επίπεδα στα οποία προβλέπεται να φθάσει κατά το τρέχον έτος (319,7 δις. ή 176,4% σε σύγκριση με το ΑΕΠ). </w:t>
      </w:r>
    </w:p>
    <w:p w:rsidR="007721CA" w:rsidRPr="007721CA" w:rsidRDefault="007721CA" w:rsidP="007721CA">
      <w:pPr>
        <w:jc w:val="both"/>
        <w:rPr>
          <w:rFonts w:ascii="Trebuchet MS" w:hAnsi="Trebuchet MS"/>
          <w:color w:val="676A6E"/>
        </w:rPr>
      </w:pPr>
      <w:r w:rsidRPr="007721CA">
        <w:rPr>
          <w:rFonts w:ascii="Trebuchet MS" w:hAnsi="Trebuchet MS"/>
          <w:color w:val="676A6E"/>
        </w:rPr>
        <w:t>Είναι σημαντικό να επισημανθεί ότι μετά την επιτυχή ολοκλήρωση του τρέχοντος προγράμματος προσαρμογής που αναμένεται τον Αύγουστο του 2018, η χώρα θα ενταχθεί στο ισχύον πλαίσιο ευρωπαϊκής δημοσιονομικής εποπτ</w:t>
      </w:r>
      <w:r w:rsidR="00932C6A">
        <w:rPr>
          <w:rFonts w:ascii="Trebuchet MS" w:hAnsi="Trebuchet MS"/>
          <w:color w:val="676A6E"/>
        </w:rPr>
        <w:t xml:space="preserve">είας, σύμφωνα με τις ρυθμίσεις </w:t>
      </w:r>
      <w:r w:rsidRPr="007721CA">
        <w:rPr>
          <w:rFonts w:ascii="Trebuchet MS" w:hAnsi="Trebuchet MS"/>
          <w:color w:val="676A6E"/>
        </w:rPr>
        <w:t>του Δημοσιονομ</w:t>
      </w:r>
      <w:r w:rsidR="00B91350">
        <w:rPr>
          <w:rFonts w:ascii="Trebuchet MS" w:hAnsi="Trebuchet MS"/>
          <w:color w:val="676A6E"/>
        </w:rPr>
        <w:t>ικού Συμφώνου Σταθερότητας</w:t>
      </w:r>
      <w:r w:rsidRPr="007721CA">
        <w:rPr>
          <w:rFonts w:ascii="Trebuchet MS" w:hAnsi="Trebuchet MS"/>
          <w:color w:val="676A6E"/>
        </w:rPr>
        <w:t xml:space="preserve">. Στο </w:t>
      </w:r>
      <w:r w:rsidR="00B91350">
        <w:rPr>
          <w:rFonts w:ascii="Trebuchet MS" w:hAnsi="Trebuchet MS"/>
          <w:color w:val="676A6E"/>
        </w:rPr>
        <w:t xml:space="preserve">πλαίσιο του Συμφώνου </w:t>
      </w:r>
      <w:r w:rsidRPr="007721CA">
        <w:rPr>
          <w:rFonts w:ascii="Trebuchet MS" w:hAnsi="Trebuchet MS"/>
          <w:color w:val="676A6E"/>
        </w:rPr>
        <w:t xml:space="preserve">η εξέλιξη και δυναμική του χρέους θα υπόκεινται σε διαρκή έλεγχο και τυχόν αποκλίσεις θα διορθώνονται αυτόματα. Πιο συγκεκριμένα έχει θεσπιστεί: α) υποβολή του εθνικού σχεδίου έκδοσης νέου δημοσίου χρέους στο Ευρωπαϊκό Συμβούλιο και την αρμόδια Επιτροπή, β) ο λόγος δημοσίου χρέους προς ΑΕΠ πρέπει να μειώνεται με μέσο ρυθμό 1/20 το χρόνο, μέχρι να προσεγγίσει το όριο του 60%. Τέλος όσον αφορά στις ακαθάριστες χρηματοδοτικές ανάγκες της οικονομίας (Gross Financing Needs) αυτές προβλέπεται να εξομαλυνθούν </w:t>
      </w:r>
      <w:r w:rsidR="000D5B08">
        <w:rPr>
          <w:rFonts w:ascii="Trebuchet MS" w:hAnsi="Trebuchet MS"/>
          <w:color w:val="676A6E"/>
        </w:rPr>
        <w:t xml:space="preserve">περαιτέρω </w:t>
      </w:r>
      <w:r w:rsidRPr="007721CA">
        <w:rPr>
          <w:rFonts w:ascii="Trebuchet MS" w:hAnsi="Trebuchet MS"/>
          <w:color w:val="676A6E"/>
        </w:rPr>
        <w:t>μετά</w:t>
      </w:r>
      <w:r w:rsidR="000D5B08">
        <w:rPr>
          <w:rFonts w:ascii="Trebuchet MS" w:hAnsi="Trebuchet MS"/>
          <w:color w:val="676A6E"/>
        </w:rPr>
        <w:t xml:space="preserve"> την εφαρμογή</w:t>
      </w:r>
      <w:r w:rsidRPr="007721CA">
        <w:rPr>
          <w:rFonts w:ascii="Trebuchet MS" w:hAnsi="Trebuchet MS"/>
          <w:color w:val="676A6E"/>
        </w:rPr>
        <w:t xml:space="preserve"> </w:t>
      </w:r>
      <w:r w:rsidR="00B91350">
        <w:rPr>
          <w:rFonts w:ascii="Trebuchet MS" w:hAnsi="Trebuchet MS"/>
          <w:color w:val="676A6E"/>
        </w:rPr>
        <w:t xml:space="preserve">των βραχυπρόθεσμων </w:t>
      </w:r>
      <w:r w:rsidRPr="007721CA">
        <w:rPr>
          <w:rFonts w:ascii="Trebuchet MS" w:hAnsi="Trebuchet MS"/>
          <w:color w:val="676A6E"/>
        </w:rPr>
        <w:t xml:space="preserve">και </w:t>
      </w:r>
      <w:r w:rsidR="00B91350">
        <w:rPr>
          <w:rFonts w:ascii="Trebuchet MS" w:hAnsi="Trebuchet MS"/>
          <w:color w:val="676A6E"/>
        </w:rPr>
        <w:t xml:space="preserve">των </w:t>
      </w:r>
      <w:r w:rsidRPr="007721CA">
        <w:rPr>
          <w:rFonts w:ascii="Trebuchet MS" w:hAnsi="Trebuchet MS"/>
          <w:color w:val="676A6E"/>
        </w:rPr>
        <w:t>μεσοπρόθεσμων</w:t>
      </w:r>
      <w:r>
        <w:rPr>
          <w:rStyle w:val="FootnoteReference"/>
          <w:rFonts w:ascii="Trebuchet MS" w:hAnsi="Trebuchet MS"/>
          <w:color w:val="676A6E"/>
        </w:rPr>
        <w:footnoteReference w:id="6"/>
      </w:r>
      <w:r w:rsidRPr="007721CA">
        <w:rPr>
          <w:rFonts w:ascii="Trebuchet MS" w:hAnsi="Trebuchet MS"/>
          <w:color w:val="676A6E"/>
        </w:rPr>
        <w:t xml:space="preserve"> μέτρων ελάφρυνσης του δημοσίου χρέους.</w:t>
      </w:r>
    </w:p>
    <w:p w:rsidR="007721CA" w:rsidRDefault="007721CA" w:rsidP="00CD08CD">
      <w:pPr>
        <w:jc w:val="both"/>
        <w:rPr>
          <w:rFonts w:ascii="Trebuchet MS" w:hAnsi="Trebuchet MS"/>
          <w:b/>
          <w:color w:val="00A3E0"/>
          <w:sz w:val="28"/>
          <w:szCs w:val="28"/>
        </w:rPr>
      </w:pPr>
    </w:p>
    <w:p w:rsidR="00371BD2" w:rsidRPr="00FC35EE" w:rsidRDefault="00C96B81" w:rsidP="00CD08CD">
      <w:pPr>
        <w:jc w:val="both"/>
        <w:rPr>
          <w:rFonts w:ascii="Trebuchet MS" w:hAnsi="Trebuchet MS"/>
          <w:b/>
          <w:color w:val="00A3E0"/>
          <w:sz w:val="28"/>
          <w:szCs w:val="28"/>
        </w:rPr>
      </w:pPr>
      <w:r>
        <w:rPr>
          <w:rFonts w:ascii="Trebuchet MS" w:hAnsi="Trebuchet MS"/>
          <w:b/>
          <w:color w:val="00A3E0"/>
          <w:sz w:val="28"/>
          <w:szCs w:val="28"/>
        </w:rPr>
        <w:t>Συμπεράσματα</w:t>
      </w:r>
    </w:p>
    <w:p w:rsidR="00A7087D" w:rsidRPr="00A7087D" w:rsidRDefault="00932C6A" w:rsidP="00A7087D">
      <w:pPr>
        <w:jc w:val="both"/>
        <w:rPr>
          <w:rFonts w:ascii="Trebuchet MS" w:hAnsi="Trebuchet MS"/>
          <w:color w:val="676A6E"/>
        </w:rPr>
      </w:pPr>
      <w:r>
        <w:rPr>
          <w:rFonts w:ascii="Trebuchet MS" w:hAnsi="Trebuchet MS"/>
          <w:color w:val="676A6E"/>
        </w:rPr>
        <w:t>Το</w:t>
      </w:r>
      <w:r w:rsidR="00A7087D" w:rsidRPr="00A7087D">
        <w:rPr>
          <w:rFonts w:ascii="Trebuchet MS" w:hAnsi="Trebuchet MS"/>
          <w:color w:val="676A6E"/>
        </w:rPr>
        <w:t xml:space="preserve"> </w:t>
      </w:r>
      <w:r w:rsidR="00EF4E04" w:rsidRPr="00A7087D">
        <w:rPr>
          <w:rFonts w:ascii="Trebuchet MS" w:hAnsi="Trebuchet MS"/>
          <w:color w:val="676A6E"/>
        </w:rPr>
        <w:t>Μεσοπρόθεσμο</w:t>
      </w:r>
      <w:r w:rsidR="00C86EAC">
        <w:rPr>
          <w:rFonts w:ascii="Trebuchet MS" w:hAnsi="Trebuchet MS"/>
          <w:color w:val="676A6E"/>
        </w:rPr>
        <w:t xml:space="preserve"> Πλαίσιο </w:t>
      </w:r>
      <w:r w:rsidR="00A7087D" w:rsidRPr="00A7087D">
        <w:rPr>
          <w:rFonts w:ascii="Trebuchet MS" w:hAnsi="Trebuchet MS"/>
          <w:color w:val="676A6E"/>
        </w:rPr>
        <w:t>Δημοσιονομικής Στρατηγικής (ΜΠΔΣ) περιλαμβάνει και εδράζεται σε μακροοικονομικές και δημοσιονομικές προβλέψεις για την τετραετία 2018-2021.</w:t>
      </w:r>
    </w:p>
    <w:p w:rsidR="00A7087D" w:rsidRPr="00A7087D" w:rsidRDefault="00A7087D" w:rsidP="00A7087D">
      <w:pPr>
        <w:jc w:val="both"/>
        <w:rPr>
          <w:rFonts w:ascii="Trebuchet MS" w:hAnsi="Trebuchet MS"/>
          <w:color w:val="676A6E"/>
        </w:rPr>
      </w:pPr>
      <w:r w:rsidRPr="00A7087D">
        <w:rPr>
          <w:rFonts w:ascii="Trebuchet MS" w:hAnsi="Trebuchet MS"/>
          <w:color w:val="676A6E"/>
        </w:rPr>
        <w:t xml:space="preserve">Σε γενικές γραμμές, οι προβλέψεις/εκτιμήσεις, σε συνδυασμό με τις επιμέρους δράσεις όπως περιγράφονται, αποτελούν ένα πλαίσιο που συνδυάζει τη μεσοπρόθεσμη δημοσιονομική </w:t>
      </w:r>
      <w:r w:rsidR="00EF4E04">
        <w:rPr>
          <w:rFonts w:ascii="Trebuchet MS" w:hAnsi="Trebuchet MS"/>
          <w:color w:val="676A6E"/>
        </w:rPr>
        <w:t xml:space="preserve">σταθερότητα </w:t>
      </w:r>
      <w:r w:rsidRPr="00A7087D">
        <w:rPr>
          <w:rFonts w:ascii="Trebuchet MS" w:hAnsi="Trebuchet MS"/>
          <w:color w:val="676A6E"/>
        </w:rPr>
        <w:t xml:space="preserve">με την απαρχή μιας περιόδου οικονομικής μεγέθυνσης και σταδιακής μείωσης του ποσοστού ανεργίας. Ουσιαστικά, </w:t>
      </w:r>
      <w:r w:rsidRPr="00A7087D">
        <w:rPr>
          <w:rFonts w:ascii="Trebuchet MS" w:hAnsi="Trebuchet MS"/>
          <w:color w:val="676A6E"/>
        </w:rPr>
        <w:lastRenderedPageBreak/>
        <w:t>το ΜΠΔΣ εκφράζει την αισιοδοξία για την έξοδο της χώρας από την έντονη οικονομική κρίση της παρελθούσας επταετίας.</w:t>
      </w:r>
    </w:p>
    <w:p w:rsidR="00A7087D" w:rsidRPr="00A7087D" w:rsidRDefault="00A7087D" w:rsidP="00A7087D">
      <w:pPr>
        <w:jc w:val="both"/>
        <w:rPr>
          <w:rFonts w:ascii="Trebuchet MS" w:hAnsi="Trebuchet MS"/>
          <w:color w:val="676A6E"/>
        </w:rPr>
      </w:pPr>
      <w:r w:rsidRPr="00A7087D">
        <w:rPr>
          <w:rFonts w:ascii="Trebuchet MS" w:hAnsi="Trebuchet MS"/>
          <w:color w:val="676A6E"/>
        </w:rPr>
        <w:t>Η μεσο</w:t>
      </w:r>
      <w:r w:rsidR="00733AC4">
        <w:rPr>
          <w:rFonts w:ascii="Trebuchet MS" w:hAnsi="Trebuchet MS"/>
          <w:color w:val="676A6E"/>
        </w:rPr>
        <w:t>πρόθεσμη δημοσιονομική σταθερότητα</w:t>
      </w:r>
      <w:r w:rsidRPr="00A7087D">
        <w:rPr>
          <w:rFonts w:ascii="Trebuchet MS" w:hAnsi="Trebuchet MS"/>
          <w:color w:val="676A6E"/>
        </w:rPr>
        <w:t xml:space="preserve"> στηρίζεται σε δύο πυλώνες:</w:t>
      </w:r>
    </w:p>
    <w:p w:rsidR="00A7087D" w:rsidRPr="00A7087D" w:rsidRDefault="00A7087D" w:rsidP="00A7087D">
      <w:pPr>
        <w:jc w:val="both"/>
        <w:rPr>
          <w:rFonts w:ascii="Trebuchet MS" w:hAnsi="Trebuchet MS"/>
          <w:color w:val="676A6E"/>
        </w:rPr>
      </w:pPr>
      <w:r w:rsidRPr="00A7087D">
        <w:rPr>
          <w:rFonts w:ascii="Trebuchet MS" w:hAnsi="Trebuchet MS"/>
          <w:color w:val="676A6E"/>
        </w:rPr>
        <w:t>Α. Τον αυστηρό έλεγχο</w:t>
      </w:r>
      <w:r w:rsidR="00733AC4">
        <w:rPr>
          <w:rFonts w:ascii="Trebuchet MS" w:hAnsi="Trebuchet MS"/>
          <w:color w:val="676A6E"/>
        </w:rPr>
        <w:t xml:space="preserve"> και ανακατανομή</w:t>
      </w:r>
      <w:r w:rsidRPr="00A7087D">
        <w:rPr>
          <w:rFonts w:ascii="Trebuchet MS" w:hAnsi="Trebuchet MS"/>
          <w:color w:val="676A6E"/>
        </w:rPr>
        <w:t xml:space="preserve"> των δαπανών, με συγκεκριμένους στόχους ανά Υπουργείο</w:t>
      </w:r>
      <w:r w:rsidR="00C30914">
        <w:rPr>
          <w:rFonts w:ascii="Trebuchet MS" w:hAnsi="Trebuchet MS"/>
          <w:color w:val="676A6E"/>
        </w:rPr>
        <w:t>.</w:t>
      </w:r>
    </w:p>
    <w:p w:rsidR="00A7087D" w:rsidRPr="00A7087D" w:rsidRDefault="00A7087D" w:rsidP="00A7087D">
      <w:pPr>
        <w:jc w:val="both"/>
        <w:rPr>
          <w:rFonts w:ascii="Trebuchet MS" w:hAnsi="Trebuchet MS"/>
          <w:color w:val="676A6E"/>
        </w:rPr>
      </w:pPr>
      <w:r w:rsidRPr="00A7087D">
        <w:rPr>
          <w:rFonts w:ascii="Trebuchet MS" w:hAnsi="Trebuchet MS"/>
          <w:color w:val="676A6E"/>
        </w:rPr>
        <w:t>Β. Τη διατήρηση μιας δομής του φορολογικού συστήματος που ήδη από το 2016 ενσωματώνει δυνατότητες «υπεραπόδοσης» με μόνιμη</w:t>
      </w:r>
      <w:r w:rsidR="00733AC4">
        <w:rPr>
          <w:rFonts w:ascii="Trebuchet MS" w:hAnsi="Trebuchet MS"/>
          <w:color w:val="676A6E"/>
        </w:rPr>
        <w:t>, δηλαδή</w:t>
      </w:r>
      <w:r w:rsidRPr="00A7087D">
        <w:rPr>
          <w:rFonts w:ascii="Trebuchet MS" w:hAnsi="Trebuchet MS"/>
          <w:color w:val="676A6E"/>
        </w:rPr>
        <w:t xml:space="preserve"> διαρθρωτική βάση, σε συνδυασμό με την πιο αποτελεσματική φορολογική διοίκηση.</w:t>
      </w:r>
    </w:p>
    <w:p w:rsidR="00A7087D" w:rsidRPr="00A7087D" w:rsidRDefault="00A7087D" w:rsidP="00A7087D">
      <w:pPr>
        <w:jc w:val="both"/>
        <w:rPr>
          <w:rFonts w:ascii="Trebuchet MS" w:hAnsi="Trebuchet MS"/>
          <w:color w:val="676A6E"/>
        </w:rPr>
      </w:pPr>
      <w:r w:rsidRPr="00A7087D">
        <w:rPr>
          <w:rFonts w:ascii="Trebuchet MS" w:hAnsi="Trebuchet MS"/>
          <w:color w:val="676A6E"/>
        </w:rPr>
        <w:t>Με αυτά τα δεδομένα, η δημοσιονομική διαχείριση βρίσκεται σε ένα νέο καθεστώς, διαφορετικό απ’ ότι ίσχυε στο παρελθόν, ουσιαστικά σε ένα πλαίσιο «μεσοπρόθεσμης διατηρησιμότητας».</w:t>
      </w:r>
    </w:p>
    <w:p w:rsidR="00A7087D" w:rsidRPr="00A7087D" w:rsidRDefault="00A7087D" w:rsidP="00A7087D">
      <w:pPr>
        <w:jc w:val="both"/>
        <w:rPr>
          <w:rFonts w:ascii="Trebuchet MS" w:hAnsi="Trebuchet MS"/>
          <w:color w:val="676A6E"/>
        </w:rPr>
      </w:pPr>
      <w:r w:rsidRPr="00A7087D">
        <w:rPr>
          <w:rFonts w:ascii="Trebuchet MS" w:hAnsi="Trebuchet MS"/>
          <w:color w:val="676A6E"/>
        </w:rPr>
        <w:t>Με αυτή την έννοια, οι στόχοι για τα πρωτογενή πλεονάσματα κρίνονται κατ’ αρχήν εφικτοί.</w:t>
      </w:r>
    </w:p>
    <w:p w:rsidR="00A7087D" w:rsidRPr="00A7087D" w:rsidRDefault="00A7087D" w:rsidP="00A7087D">
      <w:pPr>
        <w:jc w:val="both"/>
        <w:rPr>
          <w:rFonts w:ascii="Trebuchet MS" w:hAnsi="Trebuchet MS"/>
          <w:color w:val="676A6E"/>
        </w:rPr>
      </w:pPr>
      <w:r w:rsidRPr="00A7087D">
        <w:rPr>
          <w:rFonts w:ascii="Trebuchet MS" w:hAnsi="Trebuchet MS"/>
          <w:color w:val="676A6E"/>
        </w:rPr>
        <w:t>Παραμένει βέβαια το ερώτημα κατά πόσον μια συνεχώς περιοριστική δημοσιονομική πολιτική είναι συμβατή με τους στόχους για την διατήρηση θετικών ρυθμών αύξησης του πραγματικού ΑΕΠ.</w:t>
      </w:r>
    </w:p>
    <w:p w:rsidR="00A7087D" w:rsidRPr="00A7087D" w:rsidRDefault="00A7087D" w:rsidP="00A7087D">
      <w:pPr>
        <w:jc w:val="both"/>
        <w:rPr>
          <w:rFonts w:ascii="Trebuchet MS" w:hAnsi="Trebuchet MS"/>
          <w:color w:val="676A6E"/>
        </w:rPr>
      </w:pPr>
      <w:r w:rsidRPr="00A7087D">
        <w:rPr>
          <w:rFonts w:ascii="Trebuchet MS" w:hAnsi="Trebuchet MS"/>
          <w:color w:val="676A6E"/>
        </w:rPr>
        <w:t>Ο συνδυασμός υψηλής φορολογικής επιβάρυνσης και υψηλών ασφαλιστικών εισφορών θα περιορίζουν τη δυνατότητα της ιδιωτικής κατανάλωσης να συμβάλει στην αύξηση του ΑΕΠ, και αυτό αποτυπώνεται στις εκτιμήσεις του Μεσοπρόθεσμου.</w:t>
      </w:r>
    </w:p>
    <w:p w:rsidR="00A7087D" w:rsidRPr="00A7087D" w:rsidRDefault="00A7087D" w:rsidP="00A7087D">
      <w:pPr>
        <w:jc w:val="both"/>
        <w:rPr>
          <w:rFonts w:ascii="Trebuchet MS" w:hAnsi="Trebuchet MS"/>
          <w:color w:val="676A6E"/>
        </w:rPr>
      </w:pPr>
      <w:r w:rsidRPr="00A7087D">
        <w:rPr>
          <w:rFonts w:ascii="Trebuchet MS" w:hAnsi="Trebuchet MS"/>
          <w:color w:val="676A6E"/>
        </w:rPr>
        <w:t>Με δεδομένη την ουσιαστικά μηδενική συμβολή του εξωτερικού ισοζυγίου αγαθών και υπηρεσιών στην αύξηση του ΑΕΠ, απομένει ως μοναδικός προωθητικός παράγοντας ο σχηματισμός παγίου κεφαλαίου, δηλ. οι δημόσιες και κυρίως οι ιδιωτικές επενδύσεις.</w:t>
      </w:r>
    </w:p>
    <w:p w:rsidR="00A7087D" w:rsidRPr="00A7087D" w:rsidRDefault="00A7087D" w:rsidP="00A7087D">
      <w:pPr>
        <w:jc w:val="both"/>
        <w:rPr>
          <w:rFonts w:ascii="Trebuchet MS" w:hAnsi="Trebuchet MS"/>
          <w:color w:val="676A6E"/>
        </w:rPr>
      </w:pPr>
      <w:r w:rsidRPr="00A7087D">
        <w:rPr>
          <w:rFonts w:ascii="Trebuchet MS" w:hAnsi="Trebuchet MS"/>
          <w:color w:val="676A6E"/>
        </w:rPr>
        <w:t>Οι αισιόδοξες εκτιμήσεις που αποτυπώνονται στο Μεσοπρόθεσμο για τη σημαντική αύξηση των επενδύσεων στην πενταετία 2017-2021 προϋποθέτουν σταθεροποίηση των προσδοκιών, σημαντική βελτίωση του επενδυτικού και επιχειρηματικού κλί</w:t>
      </w:r>
      <w:r w:rsidR="00B91350">
        <w:rPr>
          <w:rFonts w:ascii="Trebuchet MS" w:hAnsi="Trebuchet MS"/>
          <w:color w:val="676A6E"/>
        </w:rPr>
        <w:t xml:space="preserve">ματος, υλοποίηση </w:t>
      </w:r>
      <w:r w:rsidRPr="00A7087D">
        <w:rPr>
          <w:rFonts w:ascii="Trebuchet MS" w:hAnsi="Trebuchet MS"/>
          <w:color w:val="676A6E"/>
        </w:rPr>
        <w:t xml:space="preserve">του </w:t>
      </w:r>
      <w:r w:rsidR="00673E36">
        <w:rPr>
          <w:rFonts w:ascii="Trebuchet MS" w:hAnsi="Trebuchet MS"/>
          <w:color w:val="676A6E"/>
        </w:rPr>
        <w:t>προγράμματος αποκρατικοποιήσεων</w:t>
      </w:r>
      <w:r w:rsidR="005D150D">
        <w:rPr>
          <w:rFonts w:ascii="Trebuchet MS" w:hAnsi="Trebuchet MS"/>
          <w:color w:val="676A6E"/>
        </w:rPr>
        <w:t xml:space="preserve">, </w:t>
      </w:r>
      <w:r w:rsidRPr="00A7087D">
        <w:rPr>
          <w:rFonts w:ascii="Trebuchet MS" w:hAnsi="Trebuchet MS"/>
          <w:color w:val="676A6E"/>
        </w:rPr>
        <w:t xml:space="preserve">επιστροφή σε ομαλές συνθήκες λειτουργίας του τραπεζικού συστήματος και </w:t>
      </w:r>
      <w:r w:rsidR="008346D4">
        <w:rPr>
          <w:rFonts w:ascii="Trebuchet MS" w:hAnsi="Trebuchet MS"/>
          <w:color w:val="676A6E"/>
        </w:rPr>
        <w:t>φυσικά άρση των περιορισμών στην κίνηση κεφαλαίων</w:t>
      </w:r>
      <w:r w:rsidRPr="00A7087D">
        <w:rPr>
          <w:rFonts w:ascii="Trebuchet MS" w:hAnsi="Trebuchet MS"/>
          <w:color w:val="676A6E"/>
        </w:rPr>
        <w:t>.</w:t>
      </w:r>
    </w:p>
    <w:p w:rsidR="00A7087D" w:rsidRPr="00A7087D" w:rsidRDefault="00A7087D" w:rsidP="00A7087D">
      <w:pPr>
        <w:jc w:val="both"/>
        <w:rPr>
          <w:rFonts w:ascii="Trebuchet MS" w:hAnsi="Trebuchet MS"/>
          <w:color w:val="676A6E"/>
        </w:rPr>
      </w:pPr>
      <w:r w:rsidRPr="00A7087D">
        <w:rPr>
          <w:rFonts w:ascii="Trebuchet MS" w:hAnsi="Trebuchet MS"/>
          <w:color w:val="676A6E"/>
        </w:rPr>
        <w:t>Πολλές από αυτές τις προϋποθέσεις παραμένουν σήμερα ως «ζητούμενα», και με αυτήν την έννοια οι εκτιμήσεις για διατηρήσιμους ρυθμούς μεγέθυνσης</w:t>
      </w:r>
      <w:r w:rsidR="00845842">
        <w:rPr>
          <w:rFonts w:ascii="Trebuchet MS" w:hAnsi="Trebuchet MS"/>
          <w:color w:val="676A6E"/>
        </w:rPr>
        <w:t xml:space="preserve"> της τάξης του 2,4% ετησ</w:t>
      </w:r>
      <w:r w:rsidR="006C402D">
        <w:rPr>
          <w:rFonts w:ascii="Trebuchet MS" w:hAnsi="Trebuchet MS"/>
          <w:color w:val="676A6E"/>
        </w:rPr>
        <w:t>ίως</w:t>
      </w:r>
      <w:r w:rsidR="00B91350">
        <w:rPr>
          <w:rFonts w:ascii="Trebuchet MS" w:hAnsi="Trebuchet MS"/>
          <w:color w:val="676A6E"/>
        </w:rPr>
        <w:t xml:space="preserve"> κρίνονται αισιόδοξες</w:t>
      </w:r>
      <w:r w:rsidRPr="00A7087D">
        <w:rPr>
          <w:rFonts w:ascii="Trebuchet MS" w:hAnsi="Trebuchet MS"/>
          <w:color w:val="676A6E"/>
        </w:rPr>
        <w:t>.</w:t>
      </w:r>
    </w:p>
    <w:p w:rsidR="00A7087D" w:rsidRPr="00A7087D" w:rsidRDefault="00A7087D" w:rsidP="00A7087D">
      <w:pPr>
        <w:jc w:val="both"/>
        <w:rPr>
          <w:rFonts w:ascii="Trebuchet MS" w:hAnsi="Trebuchet MS"/>
          <w:color w:val="676A6E"/>
        </w:rPr>
      </w:pPr>
      <w:r w:rsidRPr="00A7087D">
        <w:rPr>
          <w:rFonts w:ascii="Trebuchet MS" w:hAnsi="Trebuchet MS"/>
          <w:color w:val="676A6E"/>
        </w:rPr>
        <w:t xml:space="preserve">Στον βαθμό που δεν επιτευχθούν οι εκτιμώμενοι ρυθμοί μεγέθυνσης, οι δημοσιονομικοί στόχοι ενδεχομένως δεν θα είναι επιτεύξιμοι και </w:t>
      </w:r>
      <w:r w:rsidR="00984072">
        <w:rPr>
          <w:rFonts w:ascii="Trebuchet MS" w:hAnsi="Trebuchet MS"/>
          <w:color w:val="676A6E"/>
        </w:rPr>
        <w:t xml:space="preserve">θα </w:t>
      </w:r>
      <w:r w:rsidRPr="00A7087D">
        <w:rPr>
          <w:rFonts w:ascii="Trebuchet MS" w:hAnsi="Trebuchet MS"/>
          <w:color w:val="676A6E"/>
        </w:rPr>
        <w:t>καταστήσουν αναγκαία τη λήψη «διορθωτικών μέτρων».</w:t>
      </w:r>
    </w:p>
    <w:p w:rsidR="008F3362" w:rsidRDefault="00A7087D" w:rsidP="00A7087D">
      <w:pPr>
        <w:jc w:val="both"/>
        <w:rPr>
          <w:rFonts w:ascii="Trebuchet MS" w:hAnsi="Trebuchet MS"/>
          <w:color w:val="676A6E"/>
        </w:rPr>
      </w:pPr>
      <w:r w:rsidRPr="00A7087D">
        <w:rPr>
          <w:rFonts w:ascii="Trebuchet MS" w:hAnsi="Trebuchet MS"/>
          <w:color w:val="676A6E"/>
        </w:rPr>
        <w:t>Με αυτήν την έννοια, το Ελληνικό Δημοσιονομικό Συμβούλιο υιοθετεί υπό προϋποθέσεις τις μακροοικονομικές και δημοσιονομικές προβλέψεις του ΜΠΔΣ.</w:t>
      </w:r>
    </w:p>
    <w:p w:rsidR="006C402D" w:rsidRDefault="006C402D" w:rsidP="00A7087D">
      <w:pPr>
        <w:jc w:val="both"/>
        <w:rPr>
          <w:rFonts w:ascii="Trebuchet MS" w:hAnsi="Trebuchet MS"/>
          <w:color w:val="676A6E"/>
        </w:rPr>
      </w:pPr>
    </w:p>
    <w:p w:rsidR="00870D29" w:rsidRPr="00DC221F" w:rsidRDefault="008F3362" w:rsidP="006C402D">
      <w:pPr>
        <w:ind w:left="5760"/>
        <w:jc w:val="both"/>
        <w:rPr>
          <w:rFonts w:ascii="Trebuchet MS" w:hAnsi="Trebuchet MS"/>
          <w:color w:val="676A6E"/>
        </w:rPr>
      </w:pPr>
      <w:r>
        <w:rPr>
          <w:rFonts w:ascii="Trebuchet MS" w:hAnsi="Trebuchet MS"/>
          <w:color w:val="676A6E"/>
        </w:rPr>
        <w:t xml:space="preserve">    Αθήνα, 12 Μαΐου 2017</w:t>
      </w:r>
    </w:p>
    <w:p w:rsidR="008F3362" w:rsidRDefault="008F3362" w:rsidP="008F3362">
      <w:pPr>
        <w:jc w:val="center"/>
        <w:rPr>
          <w:rFonts w:ascii="Trebuchet MS" w:hAnsi="Trebuchet MS"/>
          <w:color w:val="676A6E"/>
        </w:rPr>
      </w:pPr>
      <w:r>
        <w:rPr>
          <w:rFonts w:ascii="Trebuchet MS" w:hAnsi="Trebuchet MS"/>
          <w:color w:val="676A6E"/>
        </w:rPr>
        <w:t>Για το Ελληνικό Δημοσιονομικό Συμβούλιο</w:t>
      </w:r>
    </w:p>
    <w:p w:rsidR="008F3362" w:rsidRDefault="008F3362" w:rsidP="00870D29">
      <w:pPr>
        <w:jc w:val="center"/>
        <w:rPr>
          <w:rFonts w:ascii="Trebuchet MS" w:hAnsi="Trebuchet MS"/>
          <w:color w:val="676A6E"/>
        </w:rPr>
      </w:pPr>
      <w:r>
        <w:rPr>
          <w:rFonts w:ascii="Trebuchet MS" w:hAnsi="Trebuchet MS"/>
          <w:color w:val="676A6E"/>
        </w:rPr>
        <w:t>Ο Πρόεδρος</w:t>
      </w:r>
    </w:p>
    <w:p w:rsidR="008F3362" w:rsidRDefault="008F3362" w:rsidP="008F3362">
      <w:pPr>
        <w:jc w:val="center"/>
        <w:rPr>
          <w:rFonts w:ascii="Trebuchet MS" w:hAnsi="Trebuchet MS"/>
          <w:color w:val="676A6E"/>
        </w:rPr>
      </w:pPr>
      <w:r>
        <w:rPr>
          <w:rFonts w:ascii="Trebuchet MS" w:hAnsi="Trebuchet MS"/>
          <w:color w:val="676A6E"/>
        </w:rPr>
        <w:t>Παναγιώτης Κορλίρας</w:t>
      </w:r>
    </w:p>
    <w:p w:rsidR="008F3362" w:rsidRPr="008F3362" w:rsidRDefault="008F3362" w:rsidP="00A7087D">
      <w:pPr>
        <w:jc w:val="both"/>
        <w:rPr>
          <w:rFonts w:ascii="Trebuchet MS" w:hAnsi="Trebuchet MS"/>
          <w:color w:val="676A6E"/>
        </w:rPr>
      </w:pPr>
    </w:p>
    <w:sectPr w:rsidR="008F3362" w:rsidRPr="008F3362" w:rsidSect="00F50537">
      <w:footerReference w:type="default" r:id="rId8"/>
      <w:pgSz w:w="11906" w:h="16838"/>
      <w:pgMar w:top="851" w:right="1797" w:bottom="85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B46" w:rsidRDefault="00156B46" w:rsidP="00AF2ADB">
      <w:pPr>
        <w:spacing w:after="0" w:line="240" w:lineRule="auto"/>
      </w:pPr>
      <w:r>
        <w:separator/>
      </w:r>
    </w:p>
  </w:endnote>
  <w:endnote w:type="continuationSeparator" w:id="0">
    <w:p w:rsidR="00156B46" w:rsidRDefault="00156B46" w:rsidP="00AF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1"/>
    <w:family w:val="swiss"/>
    <w:pitch w:val="variable"/>
    <w:sig w:usb0="00000287" w:usb1="00000003" w:usb2="00000000" w:usb3="00000000" w:csb0="000000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BD2" w:rsidRDefault="00100BC1">
    <w:pPr>
      <w:pStyle w:val="Footer"/>
    </w:pPr>
    <w:r>
      <w:rPr>
        <w:noProof/>
        <w:lang w:eastAsia="el-GR"/>
      </w:rPr>
      <mc:AlternateContent>
        <mc:Choice Requires="wps">
          <w:drawing>
            <wp:anchor distT="0" distB="0" distL="114300" distR="114300" simplePos="0" relativeHeight="251660288" behindDoc="0" locked="0" layoutInCell="1" allowOverlap="1">
              <wp:simplePos x="0" y="0"/>
              <wp:positionH relativeFrom="page">
                <wp:posOffset>7075170</wp:posOffset>
              </wp:positionH>
              <wp:positionV relativeFrom="page">
                <wp:posOffset>10200640</wp:posOffset>
              </wp:positionV>
              <wp:extent cx="512445" cy="441325"/>
              <wp:effectExtent l="0" t="0" r="0" b="0"/>
              <wp:wrapNone/>
              <wp:docPr id="2" name="Διάγραμμα ροής: Εναλλακτική διεργασί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71BD2" w:rsidRPr="00FC35EE" w:rsidRDefault="00371BD2" w:rsidP="00A36DBC">
                          <w:pPr>
                            <w:pStyle w:val="Footer"/>
                            <w:pBdr>
                              <w:top w:val="single" w:sz="12" w:space="1" w:color="548DD4"/>
                              <w:bottom w:val="single" w:sz="36" w:space="1" w:color="548DD4"/>
                            </w:pBdr>
                            <w:jc w:val="center"/>
                            <w:rPr>
                              <w:rFonts w:ascii="Trebuchet MS" w:hAnsi="Trebuchet MS"/>
                              <w:b/>
                              <w:sz w:val="20"/>
                              <w:szCs w:val="20"/>
                            </w:rPr>
                          </w:pPr>
                          <w:r w:rsidRPr="00FC35EE">
                            <w:rPr>
                              <w:rFonts w:ascii="Trebuchet MS" w:hAnsi="Trebuchet MS"/>
                              <w:b/>
                              <w:sz w:val="20"/>
                              <w:szCs w:val="20"/>
                            </w:rPr>
                            <w:fldChar w:fldCharType="begin"/>
                          </w:r>
                          <w:r w:rsidRPr="00FC35EE">
                            <w:rPr>
                              <w:rFonts w:ascii="Trebuchet MS" w:hAnsi="Trebuchet MS"/>
                              <w:b/>
                              <w:sz w:val="20"/>
                              <w:szCs w:val="20"/>
                            </w:rPr>
                            <w:instrText>PAGE    \* MERGEFORMAT</w:instrText>
                          </w:r>
                          <w:r w:rsidRPr="00FC35EE">
                            <w:rPr>
                              <w:rFonts w:ascii="Trebuchet MS" w:hAnsi="Trebuchet MS"/>
                              <w:b/>
                              <w:sz w:val="20"/>
                              <w:szCs w:val="20"/>
                            </w:rPr>
                            <w:fldChar w:fldCharType="separate"/>
                          </w:r>
                          <w:r w:rsidR="00DC221F">
                            <w:rPr>
                              <w:rFonts w:ascii="Trebuchet MS" w:hAnsi="Trebuchet MS"/>
                              <w:b/>
                              <w:noProof/>
                              <w:sz w:val="20"/>
                              <w:szCs w:val="20"/>
                            </w:rPr>
                            <w:t>7</w:t>
                          </w:r>
                          <w:r w:rsidRPr="00FC35EE">
                            <w:rPr>
                              <w:rFonts w:ascii="Trebuchet MS" w:hAnsi="Trebuchet MS"/>
                              <w:b/>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2" o:spid="_x0000_s1026" type="#_x0000_t176" style="position:absolute;margin-left:557.1pt;margin-top:803.2pt;width:40.35pt;height:3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9gCQMAAAEGAAAOAAAAZHJzL2Uyb0RvYy54bWysVFtu1DAU/UdiD5b/0zzqeSRqWrUzHYRU&#10;oFJhAZ7EmVgkdrDdZgrig8cSYBeoqCp8UEDsIN0S155pOy1CQkAsRdf2fZ17j+/G1ryu0BFTmkuR&#10;4nAtwIiJTOZczFL85PHEG2KkDRU5raRgKT5mGm9t3r2z0TYJi2Qpq5wpBE6ETtomxaUxTeL7OitZ&#10;TfWabJiAy0KqmhrYqpmfK9qC97ryoyDo+61UeaNkxrSG0/HiEm86/0XBMvOoKDQzqEox5GbcX7n/&#10;1P79zQ2azBRtSp4t06B/kUVNuYCgV67G1FB0qPgvrmqeKallYdYyWfuyKHjGHAZAEwa30ByUtGEO&#10;CxRHN1dl0v/PbfbwaF8hnqc4wkjQGlrUveu+dB+6s4tX3Wn3DdYpAvFHd3LxOkHd++47HH+Fddqd&#10;X7wF1fPuBHWfQPgMamfd6cWb7iPYRLa2baMTCHHQ7CtbHd3syeypRkKOSipmbFsp2ZaM5oAotPr+&#10;DQO70WCKpu0DmUNq9NBIV+Z5oWrrEAqI5q6bx1fdZHODMjjshREhPYwyuCIkXI96LgJNLo0bpc09&#10;JmtkhRQXlWwhLWW2K8OUoIbtL3jlItKjPW1shjS5tLMJCDnhVeVYVIkbB6C4OIF8wNTe2cwcKV7E&#10;Qbw73B0Sj0T9XY8E47G3PRkRrz8JB73x+ng0GocvbdyQJCXPcyZsmEuChuTPCLB8KgtqXVFUy4rn&#10;1p1NSavZdFQpdEThgfRGw/UdsqzSipp/Mw1XBMByCxKUO9iJYm/SHw48MiE9Lx4EQy8I4524H5CY&#10;jCc3Ie1xwf4dEmpTHPeguQ7Ob7EN1u36FRtNag7tRhWvUzwM7GeVaGJpuStyJxvKq4W8Ugqb/nUp&#10;oN2XjXYktrxd8N/Mp3PwYsk8lfkx0FlJoBtMI5ibIJRSPceohRmUYv3skCqGUXVfwJOIQ0Ls0HIb&#10;0htEsFGrN9PVGyoycJVig9FCHJnFoDtsFJ+VECl0NRJyG55RwR2br7NaPj6YMw7UcibaQba6d1rX&#10;k3vzJwAAAP//AwBQSwMEFAAGAAgAAAAhACN2wCLgAAAADwEAAA8AAABkcnMvZG93bnJldi54bWxM&#10;j0FPg0AQhe8m/ofNmHizC5WiIEtjbEyvbW09T2EE4u4sYbcF/73LSW/zZl7efK9YT0aLKw2us6wg&#10;XkQgiCtbd9woOH68PzyDcB65Rm2ZFPyQg3V5e1NgXtuR93Q9+EaEEHY5Kmi973MpXdWSQbewPXG4&#10;fdnBoA9yaGQ94BjCjZbLKEqlwY7DhxZ7emup+j5cjIJTOlab5nH/edodcSsnnfWblVfq/m56fQHh&#10;afJ/ZpjxAzqUgelsL1w7oYOO42QZvGFKozQBMXviLMlAnOfd0yoDWRbyf4/yFwAA//8DAFBLAQIt&#10;ABQABgAIAAAAIQC2gziS/gAAAOEBAAATAAAAAAAAAAAAAAAAAAAAAABbQ29udGVudF9UeXBlc10u&#10;eG1sUEsBAi0AFAAGAAgAAAAhADj9If/WAAAAlAEAAAsAAAAAAAAAAAAAAAAALwEAAF9yZWxzLy5y&#10;ZWxzUEsBAi0AFAAGAAgAAAAhAN+Rr2AJAwAAAQYAAA4AAAAAAAAAAAAAAAAALgIAAGRycy9lMm9E&#10;b2MueG1sUEsBAi0AFAAGAAgAAAAhACN2wCLgAAAADwEAAA8AAAAAAAAAAAAAAAAAYwUAAGRycy9k&#10;b3ducmV2LnhtbFBLBQYAAAAABAAEAPMAAABwBgAAAAA=&#10;" filled="f" fillcolor="#5c83b4" stroked="f" strokecolor="#737373">
              <v:textbox>
                <w:txbxContent>
                  <w:p w:rsidR="00371BD2" w:rsidRPr="00FC35EE" w:rsidRDefault="00371BD2" w:rsidP="00A36DBC">
                    <w:pPr>
                      <w:pStyle w:val="Footer"/>
                      <w:pBdr>
                        <w:top w:val="single" w:sz="12" w:space="1" w:color="548DD4"/>
                        <w:bottom w:val="single" w:sz="36" w:space="1" w:color="548DD4"/>
                      </w:pBdr>
                      <w:jc w:val="center"/>
                      <w:rPr>
                        <w:rFonts w:ascii="Trebuchet MS" w:hAnsi="Trebuchet MS"/>
                        <w:b/>
                        <w:sz w:val="20"/>
                        <w:szCs w:val="20"/>
                      </w:rPr>
                    </w:pPr>
                    <w:r w:rsidRPr="00FC35EE">
                      <w:rPr>
                        <w:rFonts w:ascii="Trebuchet MS" w:hAnsi="Trebuchet MS"/>
                        <w:b/>
                        <w:sz w:val="20"/>
                        <w:szCs w:val="20"/>
                      </w:rPr>
                      <w:fldChar w:fldCharType="begin"/>
                    </w:r>
                    <w:r w:rsidRPr="00FC35EE">
                      <w:rPr>
                        <w:rFonts w:ascii="Trebuchet MS" w:hAnsi="Trebuchet MS"/>
                        <w:b/>
                        <w:sz w:val="20"/>
                        <w:szCs w:val="20"/>
                      </w:rPr>
                      <w:instrText>PAGE    \* MERGEFORMAT</w:instrText>
                    </w:r>
                    <w:r w:rsidRPr="00FC35EE">
                      <w:rPr>
                        <w:rFonts w:ascii="Trebuchet MS" w:hAnsi="Trebuchet MS"/>
                        <w:b/>
                        <w:sz w:val="20"/>
                        <w:szCs w:val="20"/>
                      </w:rPr>
                      <w:fldChar w:fldCharType="separate"/>
                    </w:r>
                    <w:r w:rsidR="00DC221F">
                      <w:rPr>
                        <w:rFonts w:ascii="Trebuchet MS" w:hAnsi="Trebuchet MS"/>
                        <w:b/>
                        <w:noProof/>
                        <w:sz w:val="20"/>
                        <w:szCs w:val="20"/>
                      </w:rPr>
                      <w:t>7</w:t>
                    </w:r>
                    <w:r w:rsidRPr="00FC35EE">
                      <w:rPr>
                        <w:rFonts w:ascii="Trebuchet MS" w:hAnsi="Trebuchet MS"/>
                        <w:b/>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B46" w:rsidRDefault="00156B46" w:rsidP="00AF2ADB">
      <w:pPr>
        <w:spacing w:after="0" w:line="240" w:lineRule="auto"/>
      </w:pPr>
      <w:r>
        <w:separator/>
      </w:r>
    </w:p>
  </w:footnote>
  <w:footnote w:type="continuationSeparator" w:id="0">
    <w:p w:rsidR="00156B46" w:rsidRDefault="00156B46" w:rsidP="00AF2ADB">
      <w:pPr>
        <w:spacing w:after="0" w:line="240" w:lineRule="auto"/>
      </w:pPr>
      <w:r>
        <w:continuationSeparator/>
      </w:r>
    </w:p>
  </w:footnote>
  <w:footnote w:id="1">
    <w:p w:rsidR="00371BD2" w:rsidRDefault="00371BD2" w:rsidP="00AF2ADB">
      <w:pPr>
        <w:pStyle w:val="FootnoteText"/>
        <w:jc w:val="both"/>
      </w:pPr>
      <w:r w:rsidRPr="007119F8">
        <w:rPr>
          <w:rStyle w:val="FootnoteReference"/>
          <w:color w:val="676A6E"/>
        </w:rPr>
        <w:footnoteRef/>
      </w:r>
      <w:r w:rsidRPr="007119F8">
        <w:rPr>
          <w:color w:val="676A6E"/>
        </w:rPr>
        <w:t xml:space="preserve"> Σε εθνικολογιστική βάση (</w:t>
      </w:r>
      <w:r w:rsidRPr="007119F8">
        <w:rPr>
          <w:color w:val="676A6E"/>
          <w:lang w:val="en-US"/>
        </w:rPr>
        <w:t>ESA</w:t>
      </w:r>
      <w:r w:rsidRPr="007119F8">
        <w:rPr>
          <w:color w:val="676A6E"/>
        </w:rPr>
        <w:t xml:space="preserve"> 2010), αλλά και σε όρους Σύμβασης Χρηματοδοτικής Διευκόλυνσης, η μείωση των δαπανών με ανάλογη αύξηση των ληξιπρόθεσμων οφειλών έχει ουδέτερο δημοσιονομικό αποτέλεσμα.</w:t>
      </w:r>
    </w:p>
  </w:footnote>
  <w:footnote w:id="2">
    <w:p w:rsidR="00860508" w:rsidRPr="00EF4E04" w:rsidRDefault="00860508" w:rsidP="00860508">
      <w:pPr>
        <w:pStyle w:val="FootnoteText"/>
        <w:rPr>
          <w:color w:val="676A6E"/>
        </w:rPr>
      </w:pPr>
      <w:r>
        <w:rPr>
          <w:rStyle w:val="FootnoteReference"/>
        </w:rPr>
        <w:footnoteRef/>
      </w:r>
      <w:r w:rsidRPr="00F33EDD">
        <w:t xml:space="preserve"> </w:t>
      </w:r>
      <w:r w:rsidRPr="00EF4E04">
        <w:rPr>
          <w:color w:val="676A6E"/>
        </w:rPr>
        <w:t>Ενδεικτικά, εισαγωγή φόρου διαμονής, φορολόγησης βραχυπρόθεσμης μίσθωσης ακινήτων, κατάργηση της έκπτωσης στην παρακράτηση φόρου και για ιατρικές δαπάνες</w:t>
      </w:r>
      <w:r w:rsidR="00EF4E04" w:rsidRPr="00EF4E04">
        <w:rPr>
          <w:color w:val="676A6E"/>
        </w:rPr>
        <w:t>.</w:t>
      </w:r>
    </w:p>
  </w:footnote>
  <w:footnote w:id="3">
    <w:p w:rsidR="00ED708A" w:rsidRPr="00435AEF" w:rsidRDefault="00ED708A" w:rsidP="00ED708A">
      <w:pPr>
        <w:pStyle w:val="FootnoteText"/>
        <w:jc w:val="both"/>
        <w:rPr>
          <w:rFonts w:ascii="Trebuchet MS" w:hAnsi="Trebuchet MS"/>
          <w:sz w:val="18"/>
          <w:szCs w:val="18"/>
        </w:rPr>
      </w:pPr>
      <w:r w:rsidRPr="00435AEF">
        <w:rPr>
          <w:rFonts w:ascii="Trebuchet MS" w:hAnsi="Trebuchet MS"/>
          <w:color w:val="676A6E"/>
          <w:sz w:val="18"/>
          <w:szCs w:val="18"/>
          <w:vertAlign w:val="superscript"/>
        </w:rPr>
        <w:footnoteRef/>
      </w:r>
      <w:r w:rsidRPr="00435AEF">
        <w:rPr>
          <w:rFonts w:ascii="Trebuchet MS" w:hAnsi="Trebuchet MS"/>
          <w:color w:val="676A6E"/>
          <w:sz w:val="18"/>
          <w:szCs w:val="18"/>
        </w:rPr>
        <w:t xml:space="preserve"> Κατά το 2008 οι δαπάνες του ΠΔΕ ανήλθαν σε 9,624 δις ευρώ, που ήταν το υψηλότερο σημείο της δεκαετίας. Εν συνεχεία μειώθηκαν σταδιακά φτάνοντας τα 6,608 δις ευρώ το 2011, για να σταθεροποιηθούν έκτοτε σε αυτό περίπου το επίπεδο.</w:t>
      </w:r>
    </w:p>
  </w:footnote>
  <w:footnote w:id="4">
    <w:p w:rsidR="00ED708A" w:rsidRPr="00435AEF" w:rsidRDefault="00ED708A" w:rsidP="00ED708A">
      <w:pPr>
        <w:pStyle w:val="FootnoteText"/>
        <w:jc w:val="both"/>
        <w:rPr>
          <w:rFonts w:ascii="Trebuchet MS" w:hAnsi="Trebuchet MS"/>
          <w:sz w:val="18"/>
          <w:szCs w:val="18"/>
        </w:rPr>
      </w:pPr>
      <w:r w:rsidRPr="00435AEF">
        <w:rPr>
          <w:rStyle w:val="FootnoteReference"/>
          <w:rFonts w:ascii="Trebuchet MS" w:hAnsi="Trebuchet MS"/>
          <w:sz w:val="18"/>
          <w:szCs w:val="18"/>
        </w:rPr>
        <w:footnoteRef/>
      </w:r>
      <w:r w:rsidRPr="00435AEF">
        <w:rPr>
          <w:rFonts w:ascii="Trebuchet MS" w:hAnsi="Trebuchet MS"/>
          <w:sz w:val="18"/>
          <w:szCs w:val="18"/>
        </w:rPr>
        <w:t xml:space="preserve"> </w:t>
      </w:r>
      <w:r w:rsidRPr="00435AEF">
        <w:rPr>
          <w:rFonts w:ascii="Trebuchet MS" w:hAnsi="Trebuchet MS"/>
          <w:color w:val="676A6E"/>
          <w:sz w:val="18"/>
          <w:szCs w:val="18"/>
        </w:rPr>
        <w:t>Σημειώνεται πως κατά το 2016 οι δαπάνες του ΠΔΕ ανήλθαν σε 6,288 δις ευρώ παρουσιάζοντας υστέρηση κατά 118 εκατ. ευρώ σε σχέση με το 2015 και κατά 462 εκατ. ευρώ σε σχέση με το στόχο που είχε τεθεί στην Εισηγητική Έκθεση του Προϋπολογισμού 2016.</w:t>
      </w:r>
    </w:p>
  </w:footnote>
  <w:footnote w:id="5">
    <w:p w:rsidR="00ED708A" w:rsidRPr="00435AEF" w:rsidRDefault="00ED708A" w:rsidP="00ED708A">
      <w:pPr>
        <w:pStyle w:val="FootnoteText"/>
        <w:rPr>
          <w:rFonts w:ascii="Trebuchet MS" w:hAnsi="Trebuchet MS"/>
          <w:color w:val="676A6E"/>
          <w:sz w:val="18"/>
          <w:szCs w:val="18"/>
        </w:rPr>
      </w:pPr>
      <w:r w:rsidRPr="00A85E77">
        <w:rPr>
          <w:color w:val="676A6E"/>
          <w:vertAlign w:val="superscript"/>
        </w:rPr>
        <w:footnoteRef/>
      </w:r>
      <w:r w:rsidRPr="00435AEF">
        <w:rPr>
          <w:rFonts w:ascii="Trebuchet MS" w:hAnsi="Trebuchet MS"/>
          <w:color w:val="676A6E"/>
          <w:sz w:val="18"/>
          <w:szCs w:val="18"/>
        </w:rPr>
        <w:t xml:space="preserve"> </w:t>
      </w:r>
      <w:r w:rsidR="00EF4E04" w:rsidRPr="00435AEF">
        <w:rPr>
          <w:rFonts w:ascii="Trebuchet MS" w:hAnsi="Trebuchet MS"/>
          <w:color w:val="676A6E"/>
          <w:sz w:val="18"/>
          <w:szCs w:val="18"/>
        </w:rPr>
        <w:t>Bλ</w:t>
      </w:r>
      <w:r w:rsidR="00B84D46" w:rsidRPr="00435AEF">
        <w:rPr>
          <w:rFonts w:ascii="Trebuchet MS" w:hAnsi="Trebuchet MS"/>
          <w:color w:val="676A6E"/>
          <w:sz w:val="18"/>
          <w:szCs w:val="18"/>
        </w:rPr>
        <w:t>. Έκθεση ΚΑΝΕΠ-ΓΣΕΕ</w:t>
      </w:r>
      <w:r w:rsidR="00E83AAD">
        <w:rPr>
          <w:rFonts w:ascii="Trebuchet MS" w:hAnsi="Trebuchet MS"/>
          <w:color w:val="676A6E"/>
          <w:sz w:val="18"/>
          <w:szCs w:val="18"/>
        </w:rPr>
        <w:t>.</w:t>
      </w:r>
    </w:p>
  </w:footnote>
  <w:footnote w:id="6">
    <w:p w:rsidR="007721CA" w:rsidRPr="00435AEF" w:rsidRDefault="007721CA">
      <w:pPr>
        <w:pStyle w:val="FootnoteText"/>
        <w:rPr>
          <w:rFonts w:ascii="Trebuchet MS" w:hAnsi="Trebuchet MS"/>
          <w:color w:val="676A6E"/>
          <w:sz w:val="18"/>
          <w:szCs w:val="18"/>
        </w:rPr>
      </w:pPr>
      <w:r w:rsidRPr="00A85E77">
        <w:rPr>
          <w:color w:val="676A6E"/>
          <w:vertAlign w:val="superscript"/>
        </w:rPr>
        <w:footnoteRef/>
      </w:r>
      <w:r w:rsidRPr="00435AEF">
        <w:rPr>
          <w:rFonts w:ascii="Trebuchet MS" w:hAnsi="Trebuchet MS"/>
          <w:color w:val="676A6E"/>
          <w:sz w:val="18"/>
          <w:szCs w:val="18"/>
        </w:rPr>
        <w:t xml:space="preserve"> Βλ. Απόφαση Eurogroup 25/5/2016</w:t>
      </w:r>
      <w:r w:rsidR="00E83AAD">
        <w:rPr>
          <w:rFonts w:ascii="Trebuchet MS" w:hAnsi="Trebuchet MS"/>
          <w:color w:val="676A6E"/>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7F91"/>
    <w:multiLevelType w:val="hybridMultilevel"/>
    <w:tmpl w:val="D2E65F46"/>
    <w:lvl w:ilvl="0" w:tplc="98602946">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471663"/>
    <w:multiLevelType w:val="multilevel"/>
    <w:tmpl w:val="0E369F5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84B62B8"/>
    <w:multiLevelType w:val="hybridMultilevel"/>
    <w:tmpl w:val="9032649C"/>
    <w:lvl w:ilvl="0" w:tplc="8048D330">
      <w:numFmt w:val="bullet"/>
      <w:lvlText w:val="-"/>
      <w:lvlJc w:val="left"/>
      <w:pPr>
        <w:tabs>
          <w:tab w:val="num" w:pos="720"/>
        </w:tabs>
        <w:ind w:left="720" w:hanging="360"/>
      </w:pPr>
      <w:rPr>
        <w:rFonts w:ascii="Trebuchet MS" w:eastAsia="Times New Roman" w:hAnsi="Trebuchet M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651860"/>
    <w:multiLevelType w:val="multilevel"/>
    <w:tmpl w:val="82B2574A"/>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498509D"/>
    <w:multiLevelType w:val="multilevel"/>
    <w:tmpl w:val="C01A1B20"/>
    <w:lvl w:ilvl="0">
      <w:start w:val="1"/>
      <w:numFmt w:val="decimal"/>
      <w:lvlText w:val="%1."/>
      <w:lvlJc w:val="left"/>
      <w:pPr>
        <w:ind w:left="600" w:hanging="600"/>
      </w:pPr>
      <w:rPr>
        <w:rFonts w:cs="Times New Roman" w:hint="default"/>
      </w:rPr>
    </w:lvl>
    <w:lvl w:ilvl="1">
      <w:start w:val="1"/>
      <w:numFmt w:val="decimal"/>
      <w:lvlText w:val="%1.%2."/>
      <w:lvlJc w:val="left"/>
      <w:pPr>
        <w:ind w:left="960" w:hanging="60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46740B5B"/>
    <w:multiLevelType w:val="hybridMultilevel"/>
    <w:tmpl w:val="869806BA"/>
    <w:lvl w:ilvl="0" w:tplc="22068A42">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3203120"/>
    <w:multiLevelType w:val="hybridMultilevel"/>
    <w:tmpl w:val="7C30A926"/>
    <w:lvl w:ilvl="0" w:tplc="02CEFE68">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4F74B6A"/>
    <w:multiLevelType w:val="multilevel"/>
    <w:tmpl w:val="BE7AC77C"/>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7C842169"/>
    <w:multiLevelType w:val="multilevel"/>
    <w:tmpl w:val="A346325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7"/>
  </w:num>
  <w:num w:numId="3">
    <w:abstractNumId w:val="3"/>
  </w:num>
  <w:num w:numId="4">
    <w:abstractNumId w:val="8"/>
  </w:num>
  <w:num w:numId="5">
    <w:abstractNumId w:val="1"/>
  </w:num>
  <w:num w:numId="6">
    <w:abstractNumId w:val="0"/>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2E"/>
    <w:rsid w:val="00006EE4"/>
    <w:rsid w:val="00012F7A"/>
    <w:rsid w:val="00021C19"/>
    <w:rsid w:val="000277CA"/>
    <w:rsid w:val="000928E4"/>
    <w:rsid w:val="000A1A3E"/>
    <w:rsid w:val="000A5CBB"/>
    <w:rsid w:val="000C00CD"/>
    <w:rsid w:val="000C60AC"/>
    <w:rsid w:val="000D5B08"/>
    <w:rsid w:val="000D6EC4"/>
    <w:rsid w:val="000E0A2C"/>
    <w:rsid w:val="000E7778"/>
    <w:rsid w:val="000F1C2E"/>
    <w:rsid w:val="00100BC1"/>
    <w:rsid w:val="00122323"/>
    <w:rsid w:val="00124183"/>
    <w:rsid w:val="0013710D"/>
    <w:rsid w:val="00142C7C"/>
    <w:rsid w:val="00144F8E"/>
    <w:rsid w:val="001548CB"/>
    <w:rsid w:val="00156B46"/>
    <w:rsid w:val="001573F0"/>
    <w:rsid w:val="001753F3"/>
    <w:rsid w:val="001B170E"/>
    <w:rsid w:val="001C2B88"/>
    <w:rsid w:val="001C3C91"/>
    <w:rsid w:val="00200F5B"/>
    <w:rsid w:val="00205CF0"/>
    <w:rsid w:val="002074ED"/>
    <w:rsid w:val="002125E8"/>
    <w:rsid w:val="0022551F"/>
    <w:rsid w:val="0022570E"/>
    <w:rsid w:val="0023100E"/>
    <w:rsid w:val="002577FD"/>
    <w:rsid w:val="002605BC"/>
    <w:rsid w:val="00265D3E"/>
    <w:rsid w:val="00270B70"/>
    <w:rsid w:val="00270CE6"/>
    <w:rsid w:val="00292934"/>
    <w:rsid w:val="00292E8C"/>
    <w:rsid w:val="002B05A7"/>
    <w:rsid w:val="002C198B"/>
    <w:rsid w:val="002C5906"/>
    <w:rsid w:val="002E630B"/>
    <w:rsid w:val="00300B3D"/>
    <w:rsid w:val="00307FB8"/>
    <w:rsid w:val="003326AE"/>
    <w:rsid w:val="003344AA"/>
    <w:rsid w:val="00350866"/>
    <w:rsid w:val="00351166"/>
    <w:rsid w:val="00362D28"/>
    <w:rsid w:val="00371BD2"/>
    <w:rsid w:val="00377B0A"/>
    <w:rsid w:val="00381961"/>
    <w:rsid w:val="00385ACD"/>
    <w:rsid w:val="0039657A"/>
    <w:rsid w:val="003A12CB"/>
    <w:rsid w:val="003A76FD"/>
    <w:rsid w:val="003B18C1"/>
    <w:rsid w:val="003D4685"/>
    <w:rsid w:val="003D5629"/>
    <w:rsid w:val="003E1C44"/>
    <w:rsid w:val="003F6E3C"/>
    <w:rsid w:val="003F73FB"/>
    <w:rsid w:val="00435AEF"/>
    <w:rsid w:val="00461423"/>
    <w:rsid w:val="00473BA5"/>
    <w:rsid w:val="004761E0"/>
    <w:rsid w:val="00477D73"/>
    <w:rsid w:val="00483DAC"/>
    <w:rsid w:val="00487888"/>
    <w:rsid w:val="0049320D"/>
    <w:rsid w:val="004B0298"/>
    <w:rsid w:val="004B5016"/>
    <w:rsid w:val="004B6988"/>
    <w:rsid w:val="004B7ED9"/>
    <w:rsid w:val="004F46B9"/>
    <w:rsid w:val="00510A83"/>
    <w:rsid w:val="0053180F"/>
    <w:rsid w:val="00536C93"/>
    <w:rsid w:val="00540486"/>
    <w:rsid w:val="00570C55"/>
    <w:rsid w:val="00582849"/>
    <w:rsid w:val="005A43AA"/>
    <w:rsid w:val="005A51CA"/>
    <w:rsid w:val="005D150D"/>
    <w:rsid w:val="005E7BF0"/>
    <w:rsid w:val="005F3D55"/>
    <w:rsid w:val="005F539E"/>
    <w:rsid w:val="005F6D0F"/>
    <w:rsid w:val="0060194B"/>
    <w:rsid w:val="0062386B"/>
    <w:rsid w:val="0063310C"/>
    <w:rsid w:val="0063380A"/>
    <w:rsid w:val="00663E28"/>
    <w:rsid w:val="00673DA7"/>
    <w:rsid w:val="00673E36"/>
    <w:rsid w:val="00683B25"/>
    <w:rsid w:val="006C402D"/>
    <w:rsid w:val="006D43F7"/>
    <w:rsid w:val="006E2AAB"/>
    <w:rsid w:val="006E3AA6"/>
    <w:rsid w:val="006E530B"/>
    <w:rsid w:val="00701FEB"/>
    <w:rsid w:val="00705727"/>
    <w:rsid w:val="007119F8"/>
    <w:rsid w:val="0071358A"/>
    <w:rsid w:val="00723DBA"/>
    <w:rsid w:val="00733AC4"/>
    <w:rsid w:val="007721CA"/>
    <w:rsid w:val="00784BFC"/>
    <w:rsid w:val="00786EFD"/>
    <w:rsid w:val="007963E5"/>
    <w:rsid w:val="007A6C4C"/>
    <w:rsid w:val="007C386F"/>
    <w:rsid w:val="007C4713"/>
    <w:rsid w:val="007C70F6"/>
    <w:rsid w:val="007E07A5"/>
    <w:rsid w:val="007E37BC"/>
    <w:rsid w:val="007E400E"/>
    <w:rsid w:val="0080154D"/>
    <w:rsid w:val="0081103B"/>
    <w:rsid w:val="00811558"/>
    <w:rsid w:val="00821F7A"/>
    <w:rsid w:val="00825AFC"/>
    <w:rsid w:val="008346D4"/>
    <w:rsid w:val="00845842"/>
    <w:rsid w:val="008603B2"/>
    <w:rsid w:val="00860508"/>
    <w:rsid w:val="00870D29"/>
    <w:rsid w:val="00875A2F"/>
    <w:rsid w:val="008A60B6"/>
    <w:rsid w:val="008A6511"/>
    <w:rsid w:val="008B2334"/>
    <w:rsid w:val="008B6EA5"/>
    <w:rsid w:val="008F3362"/>
    <w:rsid w:val="009107F1"/>
    <w:rsid w:val="0091156C"/>
    <w:rsid w:val="00930F17"/>
    <w:rsid w:val="00932C6A"/>
    <w:rsid w:val="00934944"/>
    <w:rsid w:val="0095376A"/>
    <w:rsid w:val="009716B2"/>
    <w:rsid w:val="00983451"/>
    <w:rsid w:val="00984072"/>
    <w:rsid w:val="009852B5"/>
    <w:rsid w:val="00987D04"/>
    <w:rsid w:val="00990952"/>
    <w:rsid w:val="009913A1"/>
    <w:rsid w:val="009D6EF2"/>
    <w:rsid w:val="009E0999"/>
    <w:rsid w:val="009F6BB6"/>
    <w:rsid w:val="00A02A81"/>
    <w:rsid w:val="00A16776"/>
    <w:rsid w:val="00A239FC"/>
    <w:rsid w:val="00A36DBC"/>
    <w:rsid w:val="00A42906"/>
    <w:rsid w:val="00A5518E"/>
    <w:rsid w:val="00A57326"/>
    <w:rsid w:val="00A64929"/>
    <w:rsid w:val="00A7087D"/>
    <w:rsid w:val="00A70E49"/>
    <w:rsid w:val="00A72D75"/>
    <w:rsid w:val="00A76C21"/>
    <w:rsid w:val="00A80018"/>
    <w:rsid w:val="00A85E77"/>
    <w:rsid w:val="00A8779C"/>
    <w:rsid w:val="00A905F8"/>
    <w:rsid w:val="00AC0DF1"/>
    <w:rsid w:val="00AE5B5A"/>
    <w:rsid w:val="00AF2ADB"/>
    <w:rsid w:val="00B0276F"/>
    <w:rsid w:val="00B821F0"/>
    <w:rsid w:val="00B84D46"/>
    <w:rsid w:val="00B91350"/>
    <w:rsid w:val="00BA56AE"/>
    <w:rsid w:val="00BC206E"/>
    <w:rsid w:val="00BC21F2"/>
    <w:rsid w:val="00BC305A"/>
    <w:rsid w:val="00BC5C14"/>
    <w:rsid w:val="00BD49BB"/>
    <w:rsid w:val="00BF1FF0"/>
    <w:rsid w:val="00BF54B8"/>
    <w:rsid w:val="00C10982"/>
    <w:rsid w:val="00C11015"/>
    <w:rsid w:val="00C25982"/>
    <w:rsid w:val="00C25C66"/>
    <w:rsid w:val="00C30914"/>
    <w:rsid w:val="00C343A3"/>
    <w:rsid w:val="00C55952"/>
    <w:rsid w:val="00C643A8"/>
    <w:rsid w:val="00C6587A"/>
    <w:rsid w:val="00C86EAC"/>
    <w:rsid w:val="00C96B81"/>
    <w:rsid w:val="00CB358B"/>
    <w:rsid w:val="00CB5C8D"/>
    <w:rsid w:val="00CD08CD"/>
    <w:rsid w:val="00CE7987"/>
    <w:rsid w:val="00D04BA5"/>
    <w:rsid w:val="00D056A7"/>
    <w:rsid w:val="00D1045A"/>
    <w:rsid w:val="00D17424"/>
    <w:rsid w:val="00D213D6"/>
    <w:rsid w:val="00D22CC7"/>
    <w:rsid w:val="00D255B5"/>
    <w:rsid w:val="00D25AB6"/>
    <w:rsid w:val="00D272A9"/>
    <w:rsid w:val="00D41961"/>
    <w:rsid w:val="00D677D0"/>
    <w:rsid w:val="00D9317B"/>
    <w:rsid w:val="00DC221F"/>
    <w:rsid w:val="00DD3FAC"/>
    <w:rsid w:val="00DD7AD9"/>
    <w:rsid w:val="00DE1751"/>
    <w:rsid w:val="00DE38C0"/>
    <w:rsid w:val="00DE7E65"/>
    <w:rsid w:val="00E0243E"/>
    <w:rsid w:val="00E06DA8"/>
    <w:rsid w:val="00E32CF2"/>
    <w:rsid w:val="00E64079"/>
    <w:rsid w:val="00E83AAD"/>
    <w:rsid w:val="00E92D9D"/>
    <w:rsid w:val="00E96D1C"/>
    <w:rsid w:val="00EA615E"/>
    <w:rsid w:val="00EB5A60"/>
    <w:rsid w:val="00EB6E9A"/>
    <w:rsid w:val="00EB79EB"/>
    <w:rsid w:val="00ED708A"/>
    <w:rsid w:val="00EF4E04"/>
    <w:rsid w:val="00EF7C10"/>
    <w:rsid w:val="00F01A34"/>
    <w:rsid w:val="00F05B2D"/>
    <w:rsid w:val="00F05BF6"/>
    <w:rsid w:val="00F22701"/>
    <w:rsid w:val="00F32E3D"/>
    <w:rsid w:val="00F402B6"/>
    <w:rsid w:val="00F404D2"/>
    <w:rsid w:val="00F50537"/>
    <w:rsid w:val="00F5685B"/>
    <w:rsid w:val="00F62719"/>
    <w:rsid w:val="00F74BF6"/>
    <w:rsid w:val="00FA382F"/>
    <w:rsid w:val="00FC35EE"/>
    <w:rsid w:val="00FC5AF9"/>
    <w:rsid w:val="00FE1D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9628C25-27A2-4C6B-A706-A2278FD3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C2E"/>
    <w:pPr>
      <w:spacing w:after="160" w:line="259" w:lineRule="auto"/>
    </w:pPr>
    <w:rPr>
      <w:lang w:eastAsia="en-US"/>
    </w:rPr>
  </w:style>
  <w:style w:type="paragraph" w:styleId="Heading2">
    <w:name w:val="heading 2"/>
    <w:basedOn w:val="Normal"/>
    <w:next w:val="Normal"/>
    <w:link w:val="Heading2Char"/>
    <w:uiPriority w:val="99"/>
    <w:qFormat/>
    <w:rsid w:val="00C6587A"/>
    <w:pPr>
      <w:keepNext/>
      <w:keepLines/>
      <w:spacing w:before="40" w:after="0" w:line="276" w:lineRule="auto"/>
      <w:outlineLvl w:val="1"/>
    </w:pPr>
    <w:rPr>
      <w:rFonts w:ascii="Cambria" w:eastAsia="Times New Roman" w:hAnsi="Cambria"/>
      <w:color w:val="365F91"/>
      <w:sz w:val="26"/>
      <w:szCs w:val="26"/>
      <w:lang w:val="en-GB"/>
    </w:rPr>
  </w:style>
  <w:style w:type="paragraph" w:styleId="Heading3">
    <w:name w:val="heading 3"/>
    <w:basedOn w:val="Normal"/>
    <w:next w:val="Normal"/>
    <w:link w:val="Heading3Char"/>
    <w:uiPriority w:val="99"/>
    <w:qFormat/>
    <w:rsid w:val="009E099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6587A"/>
    <w:rPr>
      <w:rFonts w:ascii="Cambria" w:hAnsi="Cambria" w:cs="Times New Roman"/>
      <w:color w:val="365F91"/>
      <w:sz w:val="26"/>
      <w:szCs w:val="26"/>
      <w:lang w:val="en-GB"/>
    </w:rPr>
  </w:style>
  <w:style w:type="character" w:customStyle="1" w:styleId="Heading3Char">
    <w:name w:val="Heading 3 Char"/>
    <w:basedOn w:val="DefaultParagraphFont"/>
    <w:link w:val="Heading3"/>
    <w:uiPriority w:val="99"/>
    <w:semiHidden/>
    <w:locked/>
    <w:rsid w:val="009E0999"/>
    <w:rPr>
      <w:rFonts w:ascii="Cambria" w:hAnsi="Cambria" w:cs="Times New Roman"/>
      <w:b/>
      <w:bCs/>
      <w:color w:val="4F81BD"/>
    </w:rPr>
  </w:style>
  <w:style w:type="paragraph" w:styleId="ListParagraph">
    <w:name w:val="List Paragraph"/>
    <w:basedOn w:val="Normal"/>
    <w:uiPriority w:val="99"/>
    <w:qFormat/>
    <w:rsid w:val="00C6587A"/>
    <w:pPr>
      <w:ind w:left="720"/>
      <w:contextualSpacing/>
    </w:pPr>
  </w:style>
  <w:style w:type="paragraph" w:styleId="FootnoteText">
    <w:name w:val="footnote text"/>
    <w:basedOn w:val="Normal"/>
    <w:link w:val="FootnoteTextChar"/>
    <w:semiHidden/>
    <w:rsid w:val="00AF2ADB"/>
    <w:pPr>
      <w:spacing w:after="0" w:line="240" w:lineRule="auto"/>
    </w:pPr>
    <w:rPr>
      <w:sz w:val="20"/>
      <w:szCs w:val="20"/>
    </w:rPr>
  </w:style>
  <w:style w:type="character" w:customStyle="1" w:styleId="FootnoteTextChar">
    <w:name w:val="Footnote Text Char"/>
    <w:basedOn w:val="DefaultParagraphFont"/>
    <w:link w:val="FootnoteText"/>
    <w:semiHidden/>
    <w:locked/>
    <w:rsid w:val="00AF2ADB"/>
    <w:rPr>
      <w:rFonts w:cs="Times New Roman"/>
      <w:sz w:val="20"/>
      <w:szCs w:val="20"/>
    </w:rPr>
  </w:style>
  <w:style w:type="character" w:styleId="FootnoteReference">
    <w:name w:val="footnote reference"/>
    <w:basedOn w:val="DefaultParagraphFont"/>
    <w:semiHidden/>
    <w:rsid w:val="00AF2ADB"/>
    <w:rPr>
      <w:rFonts w:cs="Times New Roman"/>
      <w:vertAlign w:val="superscript"/>
    </w:rPr>
  </w:style>
  <w:style w:type="paragraph" w:styleId="Header">
    <w:name w:val="header"/>
    <w:basedOn w:val="Normal"/>
    <w:link w:val="HeaderChar"/>
    <w:uiPriority w:val="99"/>
    <w:rsid w:val="000C60A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C60AC"/>
    <w:rPr>
      <w:rFonts w:cs="Times New Roman"/>
    </w:rPr>
  </w:style>
  <w:style w:type="paragraph" w:styleId="Footer">
    <w:name w:val="footer"/>
    <w:basedOn w:val="Normal"/>
    <w:link w:val="FooterChar"/>
    <w:uiPriority w:val="99"/>
    <w:rsid w:val="000C60A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C60AC"/>
    <w:rPr>
      <w:rFonts w:cs="Times New Roman"/>
    </w:rPr>
  </w:style>
  <w:style w:type="table" w:customStyle="1" w:styleId="21">
    <w:name w:val="Πίνακας λίστας 21"/>
    <w:uiPriority w:val="99"/>
    <w:rsid w:val="00BC305A"/>
    <w:rPr>
      <w:sz w:val="20"/>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BalloonText">
    <w:name w:val="Balloon Text"/>
    <w:basedOn w:val="Normal"/>
    <w:link w:val="BalloonTextChar"/>
    <w:uiPriority w:val="99"/>
    <w:semiHidden/>
    <w:rsid w:val="00F22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22701"/>
    <w:rPr>
      <w:rFonts w:ascii="Segoe UI" w:hAnsi="Segoe UI" w:cs="Segoe UI"/>
      <w:sz w:val="18"/>
      <w:szCs w:val="18"/>
    </w:rPr>
  </w:style>
  <w:style w:type="character" w:styleId="CommentReference">
    <w:name w:val="annotation reference"/>
    <w:basedOn w:val="DefaultParagraphFont"/>
    <w:semiHidden/>
    <w:rsid w:val="00860508"/>
    <w:rPr>
      <w:sz w:val="16"/>
      <w:szCs w:val="16"/>
    </w:rPr>
  </w:style>
  <w:style w:type="paragraph" w:styleId="CommentText">
    <w:name w:val="annotation text"/>
    <w:basedOn w:val="Normal"/>
    <w:link w:val="CommentTextChar"/>
    <w:semiHidden/>
    <w:rsid w:val="00860508"/>
    <w:rPr>
      <w:rFonts w:eastAsia="Times New Roman"/>
      <w:sz w:val="20"/>
      <w:szCs w:val="20"/>
    </w:rPr>
  </w:style>
  <w:style w:type="character" w:customStyle="1" w:styleId="CommentTextChar">
    <w:name w:val="Comment Text Char"/>
    <w:basedOn w:val="DefaultParagraphFont"/>
    <w:link w:val="CommentText"/>
    <w:semiHidden/>
    <w:rsid w:val="00860508"/>
    <w:rPr>
      <w:rFonts w:eastAsia="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428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8855-DFF8-4A10-969B-D8E764AD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3213</Words>
  <Characters>17355</Characters>
  <Application>Microsoft Office Word</Application>
  <DocSecurity>0</DocSecurity>
  <Lines>144</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Αξιολόγηση Μακροοικονομικών Προβλέψεων του Μεσοπρόθεσμου Πλαισίου Δημοσιονομικής Στρατηγικής (ΜΠΔΣ) 2018-2021</vt:lpstr>
      <vt:lpstr>Αξιολόγηση Μακροοικονομικών Προβλέψεων του Μεσοπρόθεσμου Πλαισίου Δημοσιονομικής Στρατηγικής (ΜΠΔΣ) 2018-2021</vt:lpstr>
    </vt:vector>
  </TitlesOfParts>
  <Company/>
  <LinksUpToDate>false</LinksUpToDate>
  <CharactersWithSpaces>20527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Αξιολόγηση Μακροοικονομικών Προβλέψεων του Μεσοπρόθεσμου Πλαισίου Δημοσιονομικής Στρατηγικής (ΜΠΔΣ) 2018-2021</dc:title>
  <dc:subject/>
  <dc:creator>Anastasios</dc:creator>
  <cp:keywords/>
  <dc:description/>
  <cp:lastModifiedBy>user</cp:lastModifiedBy>
  <cp:revision>2</cp:revision>
  <cp:lastPrinted>2017-05-12T09:58:00Z</cp:lastPrinted>
  <dcterms:created xsi:type="dcterms:W3CDTF">2017-05-12T12:33:00Z</dcterms:created>
  <dcterms:modified xsi:type="dcterms:W3CDTF">2017-05-12T12:33:00Z</dcterms:modified>
</cp:coreProperties>
</file>